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95" w:rsidRPr="00CB3C40" w:rsidRDefault="00CB3C40" w:rsidP="00CB3C40">
      <w:pPr>
        <w:tabs>
          <w:tab w:val="left" w:pos="36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 предприятий и организаций!</w:t>
      </w:r>
    </w:p>
    <w:p w:rsidR="00CB3C40" w:rsidRDefault="00CB3C40" w:rsidP="00A84295">
      <w:pPr>
        <w:tabs>
          <w:tab w:val="left" w:pos="36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B3C40" w:rsidRDefault="00CB3C40" w:rsidP="00A84295">
      <w:pPr>
        <w:tabs>
          <w:tab w:val="left" w:pos="36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B3C40" w:rsidRPr="00CC2E09" w:rsidRDefault="00CB3C40" w:rsidP="00A84295">
      <w:pPr>
        <w:tabs>
          <w:tab w:val="left" w:pos="36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A84295" w:rsidRPr="00DC6C95" w:rsidRDefault="00CB3C40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2019 года </w:t>
      </w:r>
      <w:r w:rsidR="00A84295"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Ростовской области В.Ю. </w:t>
      </w:r>
      <w:proofErr w:type="spellStart"/>
      <w:r w:rsidR="00A84295"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Голубевым</w:t>
      </w:r>
      <w:proofErr w:type="spellEnd"/>
      <w:r w:rsidR="00A84295"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 Областной закон, в соответствии с которым на территории региона введен  </w:t>
      </w:r>
      <w:r w:rsidR="00A84295" w:rsidRPr="00D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инвестиционный налоговый вычет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295" w:rsidRPr="00DC6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(Областной закон Ростовской области от 01.08.2019 № 176-ЗС «О внесении изменений в Областной закон «О региональных налогах и некоторых вопросах налогообложения в Ростовской области»).</w:t>
      </w:r>
    </w:p>
    <w:p w:rsidR="00A84295" w:rsidRPr="001E489D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инструмент налоговой политики позволяет </w:t>
      </w:r>
      <w:r w:rsidRPr="0091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снизить сумму налога на прибыль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100 % стоимости основных средств, </w:t>
      </w:r>
      <w:r w:rsidRPr="001E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</w:p>
    <w:p w:rsidR="00A84295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зачисляемой в региональный бюджет – на сумму </w:t>
      </w:r>
      <w:r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90% суммы расходов в отношении основных средств; </w:t>
      </w:r>
    </w:p>
    <w:p w:rsidR="00A84295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зачисляемой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бюджет – на 10% от суммы расходов на приобретение и модернизацию основных средств (может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0).</w:t>
      </w:r>
    </w:p>
    <w:p w:rsidR="00A84295" w:rsidRPr="00DC6C95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6C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налога на прибыль может быть снижена </w:t>
      </w:r>
      <w:r w:rsidRPr="0066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сумму не более 100% суммы расходов в виде пожертвований</w:t>
      </w:r>
      <w:r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перечисленных государственным и муниципальным учреждениям, осуществляющим деятельность в области культуры, а также перечисленных некоммерческим организациям (фондам) на формирование целевого капитала в целях поддержки указанных учреждений.</w:t>
      </w:r>
    </w:p>
    <w:p w:rsidR="00A84295" w:rsidRPr="00663291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налогоплательщиков</w:t>
      </w:r>
      <w:r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имеющих право на использование инвестиционного налогового вычета: </w:t>
      </w:r>
    </w:p>
    <w:p w:rsidR="00A84295" w:rsidRPr="00CC2E09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ОКВЭД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</w:t>
      </w:r>
      <w:proofErr w:type="gramEnd"/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«Переработка и консервирование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яса и мясной пищевой продукции», </w:t>
      </w:r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CB3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молочной продукции».</w:t>
      </w:r>
    </w:p>
    <w:p w:rsidR="00A84295" w:rsidRPr="00CC2E09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Участники национального проекта «Производительность труда и поддержка занятости» – ОКВЭД разделов «Обрабатывающие производства», </w:t>
      </w:r>
      <w:r w:rsidRPr="00CC2E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«Строительство», «Транспортировка и хранение». </w:t>
      </w:r>
    </w:p>
    <w:p w:rsidR="00A84295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Налогоплательщики, осуществляющие пожертвования находящимся на территории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культуры клубного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музеям, </w:t>
      </w:r>
      <w:r w:rsidRPr="00CC2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(фондам) на формирование целевого капитала в целях поддержки указанных выше учреждений.</w:t>
      </w:r>
    </w:p>
    <w:p w:rsidR="00A84295" w:rsidRPr="00CB3C40" w:rsidRDefault="00A84295" w:rsidP="00CB3C40">
      <w:pPr>
        <w:tabs>
          <w:tab w:val="right" w:pos="10065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инвестиционного налогового вычета рекомендуется при предоставлении декларации по налогу на прибыль, направлять в налоговый орган пояснения (расчет) инвестиционного налогового вычета (письмо Минфина РФ от 01.03.2019</w:t>
      </w:r>
      <w:r w:rsidR="00CB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СД-4-3/3752</w:t>
      </w:r>
      <w:r w:rsidRPr="00DC6C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3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95" w:rsidRDefault="00A84295" w:rsidP="00A84295">
      <w:pPr>
        <w:tabs>
          <w:tab w:val="left" w:pos="851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84295" w:rsidRDefault="00A84295"/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C40" w:rsidRDefault="00CB3C40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84295" w:rsidRDefault="00A84295" w:rsidP="00A842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Справка об и</w:t>
      </w:r>
      <w:r w:rsidRPr="00D16E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нвестиционн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ом </w:t>
      </w:r>
      <w:r w:rsidRPr="00D16E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налогов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ом вычете (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A84295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ru-RU"/>
        </w:rPr>
      </w:pPr>
    </w:p>
    <w:p w:rsidR="00A84295" w:rsidRPr="00A84126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Нормативная база</w:t>
      </w:r>
    </w:p>
    <w:p w:rsidR="00A84295" w:rsidRPr="00A84126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295" w:rsidRPr="00A84126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126">
        <w:rPr>
          <w:rFonts w:ascii="Times New Roman" w:hAnsi="Times New Roman" w:cs="Times New Roman"/>
          <w:bCs/>
          <w:sz w:val="28"/>
          <w:szCs w:val="28"/>
        </w:rPr>
        <w:t>1. Налоговый кодекс Российской Федерации (часть вторая) от 05.08.2000 № 117-ФЗ (Статья 286.1).</w:t>
      </w:r>
    </w:p>
    <w:p w:rsidR="00A84295" w:rsidRPr="00A84126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126">
        <w:rPr>
          <w:rFonts w:ascii="Times New Roman" w:hAnsi="Times New Roman" w:cs="Times New Roman"/>
          <w:bCs/>
          <w:sz w:val="28"/>
          <w:szCs w:val="28"/>
        </w:rPr>
        <w:t xml:space="preserve">2. Областной закон Ростовской области от 10.05.2012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A84126">
        <w:rPr>
          <w:rFonts w:ascii="Times New Roman" w:hAnsi="Times New Roman" w:cs="Times New Roman"/>
          <w:bCs/>
          <w:sz w:val="28"/>
          <w:szCs w:val="28"/>
        </w:rPr>
        <w:t>843-ЗС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84126">
        <w:rPr>
          <w:rFonts w:ascii="Times New Roman" w:hAnsi="Times New Roman" w:cs="Times New Roman"/>
          <w:bCs/>
          <w:sz w:val="28"/>
          <w:szCs w:val="28"/>
        </w:rPr>
        <w:t>«О региональных налогах и некоторых вопросах налогообложения в Ростовской области» (статья 10.1)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4295" w:rsidRPr="00A84126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295" w:rsidRDefault="00A84295" w:rsidP="00A8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77630">
        <w:rPr>
          <w:rFonts w:ascii="Times New Roman" w:eastAsia="Calibri" w:hAnsi="Times New Roman" w:cs="Times New Roman"/>
          <w:b/>
          <w:sz w:val="28"/>
          <w:szCs w:val="28"/>
          <w:u w:val="single"/>
        </w:rPr>
        <w:t>Условия</w:t>
      </w:r>
    </w:p>
    <w:p w:rsidR="00CB3C40" w:rsidRPr="00E77630" w:rsidRDefault="00CB3C40" w:rsidP="00A8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84295" w:rsidRPr="00E77630" w:rsidRDefault="00A84295" w:rsidP="00A84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Calibri" w:hAnsi="Times New Roman" w:cs="Times New Roman"/>
          <w:b/>
          <w:sz w:val="28"/>
          <w:szCs w:val="28"/>
        </w:rPr>
        <w:t xml:space="preserve">Для использования </w:t>
      </w:r>
      <w:proofErr w:type="gramStart"/>
      <w:r w:rsidRPr="00E77630">
        <w:rPr>
          <w:rFonts w:ascii="Times New Roman" w:eastAsia="Calibri" w:hAnsi="Times New Roman" w:cs="Times New Roman"/>
          <w:b/>
          <w:sz w:val="28"/>
          <w:szCs w:val="28"/>
        </w:rPr>
        <w:t>ИНВ</w:t>
      </w:r>
      <w:proofErr w:type="gramEnd"/>
      <w:r w:rsidR="00CB3C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763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E776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алогоплательщик должен:</w:t>
      </w:r>
    </w:p>
    <w:p w:rsidR="00A84295" w:rsidRPr="00E77630" w:rsidRDefault="00A84295" w:rsidP="00A842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использовании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</w:t>
      </w:r>
      <w:proofErr w:type="gramEnd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295" w:rsidRPr="00E77630" w:rsidRDefault="00A84295" w:rsidP="00A842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отразить решение об использовании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</w:t>
      </w:r>
      <w:proofErr w:type="gramEnd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учетной политике организации;</w:t>
      </w:r>
    </w:p>
    <w:p w:rsidR="00A84295" w:rsidRDefault="00A84295" w:rsidP="00A842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объекты ОС, по которым получен вычет, в течение всего срока их полезного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95" w:rsidRPr="00E77630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5" w:rsidRPr="00E77630" w:rsidRDefault="00A84295" w:rsidP="00A84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Объекты основных средств должны быть:</w:t>
      </w:r>
    </w:p>
    <w:p w:rsidR="00A84295" w:rsidRPr="00E77630" w:rsidRDefault="00A84295" w:rsidP="00A842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 на балансе организации или ее обособленных подразделений;</w:t>
      </w:r>
    </w:p>
    <w:p w:rsidR="00A84295" w:rsidRPr="00E77630" w:rsidRDefault="00A84295" w:rsidP="00A842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</w:t>
      </w:r>
      <w:proofErr w:type="gramEnd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третьей-седьмой амортизационным группам;</w:t>
      </w:r>
    </w:p>
    <w:p w:rsidR="00A84295" w:rsidRPr="00E77630" w:rsidRDefault="00A84295" w:rsidP="00A842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</w:t>
      </w:r>
      <w:proofErr w:type="gramEnd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эксплуатацию, начиная с 1 января 2018 года;</w:t>
      </w:r>
    </w:p>
    <w:p w:rsidR="00A84295" w:rsidRPr="00E77630" w:rsidRDefault="00A84295" w:rsidP="00A842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исключены</w:t>
      </w:r>
      <w:proofErr w:type="gramEnd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амортизируемых основных средств.</w:t>
      </w:r>
    </w:p>
    <w:p w:rsidR="00A84295" w:rsidRPr="00E77630" w:rsidRDefault="00A84295" w:rsidP="00A84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295" w:rsidRPr="00A84126" w:rsidRDefault="00A84295" w:rsidP="00A8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26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декларации по налогу на прибыль </w:t>
      </w:r>
      <w:r w:rsidRPr="00A84126">
        <w:rPr>
          <w:rFonts w:ascii="Times New Roman" w:eastAsia="Calibri" w:hAnsi="Times New Roman" w:cs="Times New Roman"/>
          <w:i/>
          <w:sz w:val="28"/>
          <w:szCs w:val="28"/>
        </w:rPr>
        <w:t>(утверждена приказом ФНС России от 26.11.2016 № ММВ-7-3-572@)</w:t>
      </w:r>
      <w:r w:rsidRPr="00A84126">
        <w:rPr>
          <w:rFonts w:ascii="Times New Roman" w:eastAsia="Calibri" w:hAnsi="Times New Roman" w:cs="Times New Roman"/>
          <w:sz w:val="28"/>
          <w:szCs w:val="28"/>
        </w:rPr>
        <w:t xml:space="preserve">, направлять в налоговый орган пояснения (расчет) инвестиционного налогового вычета </w:t>
      </w:r>
      <w:r w:rsidRPr="00A84126">
        <w:rPr>
          <w:rFonts w:ascii="Times New Roman" w:eastAsia="Calibri" w:hAnsi="Times New Roman" w:cs="Times New Roman"/>
          <w:i/>
          <w:sz w:val="28"/>
          <w:szCs w:val="28"/>
        </w:rPr>
        <w:t>(письмо Минфина РФ от 01.03.2019 № СД-4-3/3752).</w:t>
      </w:r>
    </w:p>
    <w:p w:rsidR="00A84295" w:rsidRPr="00E77630" w:rsidRDefault="00A84295" w:rsidP="00A84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95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C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Категории налогоплательщиков</w:t>
      </w:r>
    </w:p>
    <w:p w:rsidR="00CB3C40" w:rsidRPr="00E77630" w:rsidRDefault="00CB3C40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295" w:rsidRPr="00E77630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О</w:t>
      </w: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основным видом деятельности которых является вид, включенный в группировку «Переработка и консервирование мяса и мясной пищевой продукции» или группировку «Производство молочной продукции» </w:t>
      </w:r>
    </w:p>
    <w:p w:rsidR="00A84295" w:rsidRPr="00E77630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У</w:t>
      </w: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национального проекта «Производительность труда и поддержка занятости»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ОКВЭД разделов </w:t>
      </w: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«Обрабатывающие производства»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«Строительство», «Транспортировка и хранение». </w:t>
      </w:r>
    </w:p>
    <w:p w:rsidR="00A84295" w:rsidRPr="00E77630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Налогоплательщики, осуществляющие пожертвования </w:t>
      </w:r>
      <w:proofErr w:type="gramStart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Ростовской области:</w:t>
      </w:r>
    </w:p>
    <w:p w:rsidR="00A84295" w:rsidRPr="00E77630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государственным областным и (или) муниципальным учреждениям культуры клубного типа (клубам, дворцам и домам культуры, домам народного творчества);</w:t>
      </w:r>
    </w:p>
    <w:p w:rsidR="00A84295" w:rsidRPr="00E77630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государственным областным и (или) муниципальным музеям;</w:t>
      </w:r>
    </w:p>
    <w:p w:rsidR="00A84295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некоммерческим организациям (фондам) на формирование целевого капитала в целях поддержки указанных выше учреждений.</w:t>
      </w:r>
    </w:p>
    <w:p w:rsidR="00A84295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5" w:rsidRDefault="00A84295" w:rsidP="00A8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5" w:rsidRPr="00A84126" w:rsidRDefault="00A84295" w:rsidP="00A842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4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Порядок уменьшения налога на инвестиционный налоговый вычет</w:t>
      </w:r>
    </w:p>
    <w:p w:rsidR="00A84295" w:rsidRPr="00A84126" w:rsidRDefault="00A84295" w:rsidP="00A8429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 сумму налога к уплате, </w:t>
      </w:r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(</w:t>
      </w:r>
      <w:hyperlink r:id="rId5" w:history="1">
        <w:r w:rsidRPr="00A841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286.1</w:t>
        </w:r>
      </w:hyperlink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НК РФ):</w:t>
      </w:r>
    </w:p>
    <w:p w:rsidR="00A84295" w:rsidRPr="00A84126" w:rsidRDefault="00A84295" w:rsidP="00A84295">
      <w:pPr>
        <w:widowControl w:val="0"/>
        <w:numPr>
          <w:ilvl w:val="0"/>
          <w:numId w:val="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сумму налога на прибыль к уплате по видам бюджета без учета инвестиционного вычета.</w:t>
      </w:r>
    </w:p>
    <w:p w:rsidR="00A84295" w:rsidRPr="00A84126" w:rsidRDefault="00A84295" w:rsidP="00A84295">
      <w:pPr>
        <w:widowControl w:val="0"/>
        <w:numPr>
          <w:ilvl w:val="0"/>
          <w:numId w:val="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Исчислить размер расходов, вычитаемых из налога к уплате в федеральный бюджет:</w:t>
      </w:r>
    </w:p>
    <w:p w:rsidR="00A84295" w:rsidRPr="00A84126" w:rsidRDefault="00A84295" w:rsidP="00A842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2886075" cy="628650"/>
            <wp:effectExtent l="0" t="0" r="9525" b="0"/>
            <wp:docPr id="2" name="Рисунок 1" descr="base_32776_25320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776_253204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2722" b="-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95" w:rsidRPr="00A84126" w:rsidRDefault="00A84295" w:rsidP="00A8429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налог к уплате в федеральный бюджет:</w:t>
      </w:r>
    </w:p>
    <w:p w:rsidR="00A84295" w:rsidRPr="00A84126" w:rsidRDefault="00A84295" w:rsidP="00A842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noProof/>
          <w:position w:val="-40"/>
          <w:sz w:val="28"/>
          <w:szCs w:val="28"/>
          <w:lang w:eastAsia="ru-RU"/>
        </w:rPr>
        <w:drawing>
          <wp:inline distT="0" distB="0" distL="0" distR="0">
            <wp:extent cx="2924175" cy="647700"/>
            <wp:effectExtent l="0" t="0" r="9525" b="0"/>
            <wp:docPr id="3" name="Рисунок 2" descr="base_32776_25320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776_253204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95" w:rsidRPr="00A84126" w:rsidRDefault="00A84295" w:rsidP="00A8429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3"/>
      <w:bookmarkEnd w:id="0"/>
      <w:r w:rsidRPr="00A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предельную величину вычета из налога к уплате в бюджет субъекта РФ:</w:t>
      </w:r>
    </w:p>
    <w:p w:rsidR="00A84295" w:rsidRPr="00A84126" w:rsidRDefault="00A84295" w:rsidP="00A842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noProof/>
          <w:position w:val="-40"/>
          <w:sz w:val="28"/>
          <w:szCs w:val="28"/>
          <w:lang w:eastAsia="ru-RU"/>
        </w:rPr>
        <w:drawing>
          <wp:inline distT="0" distB="0" distL="0" distR="0">
            <wp:extent cx="4533900" cy="638175"/>
            <wp:effectExtent l="0" t="0" r="0" b="9525"/>
            <wp:docPr id="4" name="Рисунок 3" descr="base_32776_25320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776_253204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95" w:rsidRPr="00A84126" w:rsidRDefault="00A84295" w:rsidP="00A84295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налога для определения предельной величины вычета начислять амортизацию и применять </w:t>
      </w:r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амортизационную премию по объектам ОС, на которые распространяется вычет, </w:t>
      </w:r>
      <w:hyperlink r:id="rId9" w:history="1">
        <w:r w:rsidRPr="00A841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 нужно</w:t>
        </w:r>
      </w:hyperlink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4295" w:rsidRPr="00A84126" w:rsidRDefault="00A84295" w:rsidP="00A84295">
      <w:pPr>
        <w:widowControl w:val="0"/>
        <w:numPr>
          <w:ilvl w:val="0"/>
          <w:numId w:val="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88"/>
      <w:bookmarkEnd w:id="1"/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сумму: 90% расходов на приобретение и модернизацию ОС, 100% расходов на пожертвования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4295" w:rsidRPr="00A84126" w:rsidRDefault="00A84295" w:rsidP="00A84295">
      <w:pPr>
        <w:widowControl w:val="0"/>
        <w:numPr>
          <w:ilvl w:val="0"/>
          <w:numId w:val="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Сравнить полученную в </w:t>
      </w:r>
      <w:hyperlink w:anchor="P88" w:history="1">
        <w:r w:rsidRPr="00A841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5</w:t>
        </w:r>
      </w:hyperlink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с предельной величиной вычета из налога к уплате в бюджет субъекта РФ </w:t>
      </w:r>
      <w:hyperlink w:anchor="P83" w:history="1">
        <w:r w:rsidRPr="00A841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(п. 4)</w:t>
        </w:r>
      </w:hyperlink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4295" w:rsidRPr="00A84126" w:rsidRDefault="00A84295" w:rsidP="00A84295">
      <w:pPr>
        <w:widowControl w:val="0"/>
        <w:autoSpaceDE w:val="0"/>
        <w:autoSpaceDN w:val="0"/>
        <w:spacing w:before="200"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результат меньше предельной величины или равен ей, включите в вычет все расходы единовременно.</w:t>
      </w:r>
    </w:p>
    <w:p w:rsidR="00A84295" w:rsidRPr="00A84126" w:rsidRDefault="00A84295" w:rsidP="00A84295">
      <w:pPr>
        <w:widowControl w:val="0"/>
        <w:autoSpaceDE w:val="0"/>
        <w:autoSpaceDN w:val="0"/>
        <w:spacing w:before="200"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рассчитанный расход больше предельной величины, включите в вычет расходы в размере предельной величины, а неучтенную часть </w:t>
      </w:r>
      <w:hyperlink w:anchor="P103" w:history="1">
        <w:r w:rsidRPr="00A841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перенесите</w:t>
        </w:r>
      </w:hyperlink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последующие налоговые (отчетные) периоды (</w:t>
      </w:r>
      <w:hyperlink r:id="rId10" w:history="1">
        <w:r w:rsidRPr="00A841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9 ст. 286.1</w:t>
        </w:r>
      </w:hyperlink>
      <w:r w:rsidRPr="00A8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НК РФ).</w:t>
      </w:r>
    </w:p>
    <w:p w:rsidR="00A84295" w:rsidRPr="00A84126" w:rsidRDefault="00A84295" w:rsidP="00A84295">
      <w:pPr>
        <w:widowControl w:val="0"/>
        <w:numPr>
          <w:ilvl w:val="0"/>
          <w:numId w:val="3"/>
        </w:num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сумму налога к уплате в бюджет субъекта РФ:</w:t>
      </w:r>
    </w:p>
    <w:p w:rsidR="00A84295" w:rsidRPr="00A84126" w:rsidRDefault="00A84295" w:rsidP="00A842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40" w:rsidRPr="00CB3C40" w:rsidRDefault="00A84295" w:rsidP="00CB3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6">
        <w:rPr>
          <w:rFonts w:ascii="Times New Roman" w:eastAsia="Times New Roman" w:hAnsi="Times New Roman" w:cs="Times New Roman"/>
          <w:noProof/>
          <w:position w:val="-41"/>
          <w:sz w:val="28"/>
          <w:szCs w:val="28"/>
          <w:lang w:eastAsia="ru-RU"/>
        </w:rPr>
        <w:drawing>
          <wp:inline distT="0" distB="0" distL="0" distR="0">
            <wp:extent cx="3028950" cy="657225"/>
            <wp:effectExtent l="0" t="0" r="0" b="9525"/>
            <wp:docPr id="5" name="Рисунок 4" descr="base_32776_25320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776_253204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40" w:rsidRDefault="00CB3C40" w:rsidP="00CB3C40">
      <w:pPr>
        <w:pStyle w:val="ConsPlusTitlePage"/>
      </w:pPr>
    </w:p>
    <w:p w:rsidR="00CB3C40" w:rsidRDefault="00CB3C40" w:rsidP="00CB3C40">
      <w:pPr>
        <w:pStyle w:val="ConsPlusTitlePage"/>
      </w:pPr>
    </w:p>
    <w:p w:rsidR="00CB3C40" w:rsidRDefault="00CB3C40" w:rsidP="00CB3C40">
      <w:pPr>
        <w:pStyle w:val="ConsPlusTitlePage"/>
      </w:pPr>
    </w:p>
    <w:p w:rsidR="00A84295" w:rsidRDefault="00A84295" w:rsidP="00A84295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A84295" w:rsidRDefault="00A84295" w:rsidP="00A84295">
      <w:pPr>
        <w:pStyle w:val="ConsPlusTitle"/>
        <w:jc w:val="both"/>
      </w:pPr>
    </w:p>
    <w:p w:rsidR="00A84295" w:rsidRDefault="00A84295" w:rsidP="00A84295">
      <w:pPr>
        <w:pStyle w:val="ConsPlusTitle"/>
        <w:jc w:val="center"/>
      </w:pPr>
      <w:r>
        <w:t>ФЕДЕРАЛЬНАЯ НАЛОГОВАЯ СЛУЖБА</w:t>
      </w:r>
    </w:p>
    <w:p w:rsidR="00A84295" w:rsidRDefault="00A84295" w:rsidP="00A84295">
      <w:pPr>
        <w:pStyle w:val="ConsPlusTitle"/>
        <w:jc w:val="center"/>
      </w:pPr>
    </w:p>
    <w:p w:rsidR="00A84295" w:rsidRDefault="00A84295" w:rsidP="00A84295">
      <w:pPr>
        <w:pStyle w:val="ConsPlusTitle"/>
        <w:jc w:val="center"/>
      </w:pPr>
      <w:r>
        <w:t>ПИСЬМО</w:t>
      </w:r>
    </w:p>
    <w:p w:rsidR="00A84295" w:rsidRDefault="00A84295" w:rsidP="00A84295">
      <w:pPr>
        <w:pStyle w:val="ConsPlusTitle"/>
        <w:jc w:val="center"/>
      </w:pPr>
      <w:r>
        <w:t>от 1 марта 2019 г. N СД-4-3/3752</w:t>
      </w:r>
    </w:p>
    <w:p w:rsidR="00A84295" w:rsidRDefault="00A84295" w:rsidP="00A84295">
      <w:pPr>
        <w:pStyle w:val="ConsPlusTitle"/>
        <w:jc w:val="center"/>
      </w:pPr>
    </w:p>
    <w:p w:rsidR="00A84295" w:rsidRDefault="00A84295" w:rsidP="00A84295">
      <w:pPr>
        <w:pStyle w:val="ConsPlusTitle"/>
        <w:jc w:val="center"/>
      </w:pPr>
      <w:r>
        <w:t>О ЗАПОЛНЕНИИ</w:t>
      </w:r>
    </w:p>
    <w:p w:rsidR="00A84295" w:rsidRDefault="00A84295" w:rsidP="00A84295">
      <w:pPr>
        <w:pStyle w:val="ConsPlusTitle"/>
        <w:jc w:val="center"/>
      </w:pPr>
      <w:r>
        <w:t>НАЛОГОВОЙ ДЕКЛАРАЦИИ ПО НАЛОГУ НА ПРИБЫЛЬ ОРГАНИЗАЦИЙ</w:t>
      </w: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ind w:firstLine="540"/>
        <w:jc w:val="both"/>
      </w:pPr>
      <w:r>
        <w:t xml:space="preserve">Федеральная налоговая служба </w:t>
      </w:r>
      <w:proofErr w:type="gramStart"/>
      <w:r>
        <w:t>в связи с установлением законами субъектов Российской Федерации права на применение налогоплательщиками инвестиционного налогового вычета при исчислении налога на прибыль</w:t>
      </w:r>
      <w:proofErr w:type="gramEnd"/>
      <w:r>
        <w:t xml:space="preserve"> организаций по вопросу отражения его в налоговой </w:t>
      </w:r>
      <w:hyperlink r:id="rId12" w:history="1">
        <w:r>
          <w:rPr>
            <w:color w:val="0000FF"/>
          </w:rPr>
          <w:t>декларации</w:t>
        </w:r>
      </w:hyperlink>
      <w:r>
        <w:t xml:space="preserve"> сообщает следующее.</w:t>
      </w:r>
    </w:p>
    <w:p w:rsidR="00A84295" w:rsidRDefault="00A84295" w:rsidP="00A84295">
      <w:pPr>
        <w:pStyle w:val="ConsPlusNormal"/>
        <w:spacing w:before="200"/>
        <w:ind w:firstLine="540"/>
        <w:jc w:val="both"/>
      </w:pPr>
      <w:r>
        <w:t xml:space="preserve">Порядок применения инвестиционного налогового вычета установлен </w:t>
      </w:r>
      <w:hyperlink r:id="rId13" w:history="1">
        <w:r>
          <w:rPr>
            <w:color w:val="0000FF"/>
          </w:rPr>
          <w:t>статьей 286.1</w:t>
        </w:r>
      </w:hyperlink>
      <w:r>
        <w:t xml:space="preserve"> Налогового кодекса Российской Федерации (далее - Кодекс) и законами субъектов Российской Федерации.</w:t>
      </w:r>
    </w:p>
    <w:p w:rsidR="00A84295" w:rsidRDefault="00A84295" w:rsidP="00A84295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A84295" w:rsidTr="00781E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4295" w:rsidRDefault="00A84295" w:rsidP="00781E2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84295" w:rsidRDefault="00A84295" w:rsidP="00781E2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ФНС России N ММВ-7-3/572@ издан 19.10.2016, а не 26.11.2016.</w:t>
            </w:r>
          </w:p>
        </w:tc>
      </w:tr>
    </w:tbl>
    <w:p w:rsidR="00A84295" w:rsidRDefault="00A84295" w:rsidP="00A84295">
      <w:pPr>
        <w:pStyle w:val="ConsPlusNormal"/>
        <w:spacing w:before="260"/>
        <w:ind w:firstLine="540"/>
        <w:jc w:val="both"/>
      </w:pPr>
      <w:proofErr w:type="gramStart"/>
      <w:r>
        <w:t xml:space="preserve">До внесения изменений в </w:t>
      </w:r>
      <w:hyperlink r:id="rId14" w:history="1">
        <w:r>
          <w:rPr>
            <w:color w:val="0000FF"/>
          </w:rPr>
          <w:t>форму</w:t>
        </w:r>
      </w:hyperlink>
      <w:r>
        <w:t xml:space="preserve"> налоговой декларации по налогу на прибыль организаций и </w:t>
      </w:r>
      <w:hyperlink r:id="rId15" w:history="1">
        <w:r>
          <w:rPr>
            <w:color w:val="0000FF"/>
          </w:rPr>
          <w:t>порядок</w:t>
        </w:r>
      </w:hyperlink>
      <w:r>
        <w:t xml:space="preserve"> ее заполнения (утверждены приказом ФНС России от 26.11.2016 N ММВ-7-3/572@) ФНС России рекомендует при исчислении авансовых платежей (налога) в бюджет субъекта Российской Федерации уменьшать на сумму инвестиционного налогового вычета показатель по </w:t>
      </w:r>
      <w:hyperlink r:id="rId16" w:history="1">
        <w:r>
          <w:rPr>
            <w:color w:val="0000FF"/>
          </w:rPr>
          <w:t>строке 200</w:t>
        </w:r>
      </w:hyperlink>
      <w:r>
        <w:t xml:space="preserve"> Листа 02 налоговой декларации.</w:t>
      </w:r>
      <w:proofErr w:type="gramEnd"/>
    </w:p>
    <w:p w:rsidR="00A84295" w:rsidRDefault="00A84295" w:rsidP="00A84295">
      <w:pPr>
        <w:pStyle w:val="ConsPlusNormal"/>
        <w:spacing w:before="200"/>
        <w:ind w:firstLine="540"/>
        <w:jc w:val="both"/>
      </w:pPr>
      <w:proofErr w:type="gramStart"/>
      <w:r>
        <w:t xml:space="preserve">Организации, имеющие обособленные подразделения, при применении инвестиционного налогового вычета в отношении авансовых платежей (налога), исчисленных для уплаты в бюджеты субъектов Российской Федерации по месту нахождения организации и (или) по месту нахождения ее обособленных подразделений, на сумму инвестиционного налогового вычета уменьшают показатели </w:t>
      </w:r>
      <w:hyperlink r:id="rId17" w:history="1">
        <w:r>
          <w:rPr>
            <w:color w:val="0000FF"/>
          </w:rPr>
          <w:t>строк 070</w:t>
        </w:r>
      </w:hyperlink>
      <w:r>
        <w:t xml:space="preserve"> соответствующих Приложений N 5 к Листу 02 налоговой декларации.</w:t>
      </w:r>
      <w:proofErr w:type="gramEnd"/>
      <w:r>
        <w:t xml:space="preserve"> Соответственно, суммирование показателей </w:t>
      </w:r>
      <w:hyperlink r:id="rId18" w:history="1">
        <w:r>
          <w:rPr>
            <w:color w:val="0000FF"/>
          </w:rPr>
          <w:t>строк 070</w:t>
        </w:r>
      </w:hyperlink>
      <w:r>
        <w:t xml:space="preserve"> Приложений N 5 к Листу 02 налоговой декларации сформирует показатель по </w:t>
      </w:r>
      <w:hyperlink r:id="rId19" w:history="1">
        <w:r>
          <w:rPr>
            <w:color w:val="0000FF"/>
          </w:rPr>
          <w:t>строке 200</w:t>
        </w:r>
      </w:hyperlink>
      <w:r>
        <w:t xml:space="preserve"> Листа 02 уже с учетом инвестиционного налогового вычета.</w:t>
      </w:r>
    </w:p>
    <w:p w:rsidR="00A84295" w:rsidRDefault="00A84295" w:rsidP="00A84295">
      <w:pPr>
        <w:pStyle w:val="ConsPlusNormal"/>
        <w:spacing w:before="200"/>
        <w:ind w:firstLine="540"/>
        <w:jc w:val="both"/>
      </w:pPr>
      <w:r>
        <w:t xml:space="preserve">Если налогоплательщик воспользовался правом на применение инвестиционного налогового вычета, то он вправе уменьшить сумму налога, подлежащую зачислению в федеральный бюджет, на величину, определенную согласно </w:t>
      </w:r>
      <w:hyperlink r:id="rId20" w:history="1">
        <w:r>
          <w:rPr>
            <w:color w:val="0000FF"/>
          </w:rPr>
          <w:t>пункту 3 статьи 286.1</w:t>
        </w:r>
      </w:hyperlink>
      <w:r>
        <w:t xml:space="preserve"> Кодекса. В </w:t>
      </w:r>
      <w:hyperlink r:id="rId21" w:history="1">
        <w:r>
          <w:rPr>
            <w:color w:val="0000FF"/>
          </w:rPr>
          <w:t>Листе 02</w:t>
        </w:r>
      </w:hyperlink>
      <w:r>
        <w:t xml:space="preserve"> налоговой декларации на указанную величину уменьшается показатель по </w:t>
      </w:r>
      <w:hyperlink r:id="rId22" w:history="1">
        <w:r>
          <w:rPr>
            <w:color w:val="0000FF"/>
          </w:rPr>
          <w:t>строке 190</w:t>
        </w:r>
      </w:hyperlink>
      <w:r>
        <w:t xml:space="preserve"> "Сумма исчисленного налога в федеральный бюджет".</w:t>
      </w:r>
    </w:p>
    <w:p w:rsidR="00A84295" w:rsidRDefault="00A84295" w:rsidP="00A84295">
      <w:pPr>
        <w:pStyle w:val="ConsPlusNormal"/>
        <w:spacing w:before="200"/>
        <w:ind w:firstLine="540"/>
        <w:jc w:val="both"/>
      </w:pPr>
      <w:r>
        <w:t xml:space="preserve">Налогоплательщикам, применившим инвестиционный налоговый вычет, рекомендуется при представлении налоговой </w:t>
      </w:r>
      <w:hyperlink r:id="rId23" w:history="1">
        <w:r>
          <w:rPr>
            <w:color w:val="0000FF"/>
          </w:rPr>
          <w:t>декларации</w:t>
        </w:r>
      </w:hyperlink>
      <w:r>
        <w:t xml:space="preserve"> направлять в налоговый орган пояснения (расчет) инвестиционного налогового вычета (примерная форма </w:t>
      </w:r>
      <w:hyperlink w:anchor="P77" w:history="1">
        <w:r>
          <w:rPr>
            <w:color w:val="0000FF"/>
          </w:rPr>
          <w:t>расчета</w:t>
        </w:r>
      </w:hyperlink>
      <w:r>
        <w:t xml:space="preserve"> прилагается к настоящему письму).</w:t>
      </w:r>
    </w:p>
    <w:p w:rsidR="00A84295" w:rsidRDefault="00A84295" w:rsidP="00A84295">
      <w:pPr>
        <w:pStyle w:val="ConsPlusNormal"/>
        <w:spacing w:before="200"/>
        <w:ind w:firstLine="540"/>
        <w:jc w:val="both"/>
      </w:pPr>
      <w:r>
        <w:t>Доведите изложенную в настоящем письме информацию до подведомственных налоговых органов и до налогоплательщиков.</w:t>
      </w: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right"/>
      </w:pPr>
      <w:r>
        <w:t>Действительный</w:t>
      </w:r>
    </w:p>
    <w:p w:rsidR="00A84295" w:rsidRDefault="00A84295" w:rsidP="00A84295">
      <w:pPr>
        <w:pStyle w:val="ConsPlusNormal"/>
        <w:jc w:val="right"/>
      </w:pPr>
      <w:r>
        <w:t>государственный советник</w:t>
      </w:r>
    </w:p>
    <w:p w:rsidR="00A84295" w:rsidRDefault="00A84295" w:rsidP="00A84295">
      <w:pPr>
        <w:pStyle w:val="ConsPlusNormal"/>
        <w:jc w:val="right"/>
      </w:pPr>
      <w:r>
        <w:t>Российской Федерации</w:t>
      </w:r>
    </w:p>
    <w:p w:rsidR="00A84295" w:rsidRDefault="00A84295" w:rsidP="00A84295">
      <w:pPr>
        <w:pStyle w:val="ConsPlusNormal"/>
        <w:jc w:val="right"/>
      </w:pPr>
      <w:r>
        <w:t>2 класса</w:t>
      </w:r>
    </w:p>
    <w:p w:rsidR="00A84295" w:rsidRDefault="00A84295" w:rsidP="00A84295">
      <w:pPr>
        <w:pStyle w:val="ConsPlusNormal"/>
        <w:jc w:val="right"/>
      </w:pPr>
      <w:r>
        <w:t>Д.С.САТИН</w:t>
      </w: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both"/>
      </w:pPr>
    </w:p>
    <w:p w:rsidR="00CB3C40" w:rsidRDefault="00CB3C40" w:rsidP="00A84295">
      <w:pPr>
        <w:pStyle w:val="ConsPlusNormal"/>
        <w:jc w:val="both"/>
      </w:pPr>
    </w:p>
    <w:p w:rsidR="00CB3C40" w:rsidRDefault="00CB3C40" w:rsidP="00A84295">
      <w:pPr>
        <w:pStyle w:val="ConsPlusNormal"/>
        <w:jc w:val="both"/>
      </w:pPr>
    </w:p>
    <w:p w:rsidR="00CB3C40" w:rsidRDefault="00CB3C40" w:rsidP="00A84295">
      <w:pPr>
        <w:pStyle w:val="ConsPlusNormal"/>
        <w:jc w:val="both"/>
      </w:pPr>
    </w:p>
    <w:p w:rsidR="00CB3C40" w:rsidRDefault="00CB3C40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right"/>
        <w:outlineLvl w:val="0"/>
      </w:pPr>
      <w:r>
        <w:lastRenderedPageBreak/>
        <w:t>Приложение</w:t>
      </w:r>
    </w:p>
    <w:p w:rsidR="00A84295" w:rsidRDefault="00A84295" w:rsidP="00A842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22"/>
      </w:tblGrid>
      <w:tr w:rsidR="00A84295" w:rsidTr="00781E2C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A84295" w:rsidRDefault="00A84295" w:rsidP="00781E2C">
            <w:pPr>
              <w:pStyle w:val="ConsPlusNormal"/>
              <w:ind w:left="567"/>
            </w:pPr>
            <w:r>
              <w:t>ИНН</w:t>
            </w: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22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blPrEx>
          <w:tblBorders>
            <w:right w:val="none" w:sz="0" w:space="0" w:color="auto"/>
            <w:insideV w:val="nil"/>
          </w:tblBorders>
        </w:tblPrEx>
        <w:tc>
          <w:tcPr>
            <w:tcW w:w="1247" w:type="dxa"/>
            <w:tcBorders>
              <w:top w:val="nil"/>
              <w:bottom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  <w:tcBorders>
              <w:bottom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  <w:tcBorders>
              <w:bottom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22" w:type="dxa"/>
            <w:tcBorders>
              <w:bottom w:val="nil"/>
            </w:tcBorders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blPrEx>
          <w:tblBorders>
            <w:right w:val="none" w:sz="0" w:space="0" w:color="auto"/>
          </w:tblBorders>
        </w:tblPrEx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A84295" w:rsidRDefault="00A84295" w:rsidP="00781E2C">
            <w:pPr>
              <w:pStyle w:val="ConsPlusNormal"/>
              <w:ind w:left="567"/>
            </w:pPr>
            <w:r>
              <w:t>КПП</w:t>
            </w: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</w:tr>
    </w:tbl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nformat"/>
        <w:jc w:val="both"/>
      </w:pPr>
      <w:r>
        <w:t>___________________________________________________________________________</w:t>
      </w:r>
    </w:p>
    <w:p w:rsidR="00A84295" w:rsidRDefault="00A84295" w:rsidP="00A84295">
      <w:pPr>
        <w:pStyle w:val="ConsPlusNonformat"/>
        <w:jc w:val="both"/>
      </w:pPr>
      <w:r>
        <w:t>___________________________________________________________________________</w:t>
      </w:r>
    </w:p>
    <w:p w:rsidR="00A84295" w:rsidRDefault="00A84295" w:rsidP="00A84295">
      <w:pPr>
        <w:pStyle w:val="ConsPlusNonformat"/>
        <w:jc w:val="both"/>
      </w:pPr>
      <w:r>
        <w:t xml:space="preserve">                        (наименование организации)</w:t>
      </w:r>
    </w:p>
    <w:p w:rsidR="00A84295" w:rsidRDefault="00A84295" w:rsidP="00A84295">
      <w:pPr>
        <w:pStyle w:val="ConsPlusNonformat"/>
        <w:jc w:val="both"/>
      </w:pPr>
    </w:p>
    <w:p w:rsidR="00A84295" w:rsidRDefault="00A84295" w:rsidP="00A84295">
      <w:pPr>
        <w:pStyle w:val="ConsPlusNonformat"/>
        <w:jc w:val="both"/>
      </w:pPr>
      <w:bookmarkStart w:id="2" w:name="P77"/>
      <w:bookmarkEnd w:id="2"/>
      <w:r>
        <w:t xml:space="preserve">       Расчет инвестиционного налогового вычета по налогу на прибыль</w:t>
      </w:r>
    </w:p>
    <w:p w:rsidR="00A84295" w:rsidRDefault="00A84295" w:rsidP="00A84295">
      <w:pPr>
        <w:pStyle w:val="ConsPlusNonformat"/>
        <w:jc w:val="both"/>
      </w:pPr>
      <w:r>
        <w:t xml:space="preserve">                    организаций за          201  го</w:t>
      </w:r>
      <w:proofErr w:type="gramStart"/>
      <w:r>
        <w:t>д(</w:t>
      </w:r>
      <w:proofErr w:type="gramEnd"/>
      <w:r>
        <w:t>а)</w:t>
      </w:r>
    </w:p>
    <w:p w:rsidR="00A84295" w:rsidRDefault="00A84295" w:rsidP="00A84295">
      <w:pPr>
        <w:pStyle w:val="ConsPlusNonformat"/>
        <w:jc w:val="both"/>
      </w:pPr>
    </w:p>
    <w:p w:rsidR="00A84295" w:rsidRDefault="00A84295" w:rsidP="00A84295">
      <w:pPr>
        <w:pStyle w:val="ConsPlusNonformat"/>
        <w:jc w:val="both"/>
      </w:pPr>
      <w:r>
        <w:t xml:space="preserve">            Раздел А. Расчет инвестиционного налогового вычета</w:t>
      </w:r>
    </w:p>
    <w:p w:rsidR="00A84295" w:rsidRDefault="00A84295" w:rsidP="00A84295">
      <w:pPr>
        <w:pStyle w:val="ConsPlusNonformat"/>
        <w:jc w:val="both"/>
      </w:pPr>
      <w:r>
        <w:t xml:space="preserve">      из авансовых платежей и налога, подлежащих зачислению в бюджет</w:t>
      </w:r>
    </w:p>
    <w:p w:rsidR="00A84295" w:rsidRDefault="00A84295" w:rsidP="00A84295">
      <w:pPr>
        <w:pStyle w:val="ConsPlusNonformat"/>
        <w:jc w:val="both"/>
      </w:pPr>
      <w:r>
        <w:t xml:space="preserve">                       субъекта Российской Федерации</w:t>
      </w:r>
    </w:p>
    <w:p w:rsidR="00A84295" w:rsidRDefault="00A84295" w:rsidP="00A842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462"/>
        <w:gridCol w:w="5669"/>
      </w:tblGrid>
      <w:tr w:rsidR="00A84295" w:rsidTr="00781E2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  <w:r>
              <w:t>1 - в целом по организации</w:t>
            </w:r>
          </w:p>
          <w:p w:rsidR="00A84295" w:rsidRDefault="00A84295" w:rsidP="00781E2C">
            <w:pPr>
              <w:pStyle w:val="ConsPlusNormal"/>
            </w:pPr>
            <w:r>
              <w:t>2 - по организации без входящих в нее обособленных подразделений</w:t>
            </w:r>
          </w:p>
          <w:p w:rsidR="00A84295" w:rsidRDefault="00A84295" w:rsidP="00781E2C">
            <w:pPr>
              <w:pStyle w:val="ConsPlusNormal"/>
            </w:pPr>
            <w:r>
              <w:t>3 - по обособленному подразделению</w:t>
            </w:r>
          </w:p>
          <w:p w:rsidR="00A84295" w:rsidRDefault="00A84295" w:rsidP="00781E2C">
            <w:pPr>
              <w:pStyle w:val="ConsPlusNormal"/>
            </w:pPr>
            <w:r>
              <w:t>4 - по обособленному подразделению, закрытому в течение текущего налогового периода</w:t>
            </w:r>
          </w:p>
          <w:p w:rsidR="00A84295" w:rsidRDefault="00A84295" w:rsidP="00781E2C">
            <w:pPr>
              <w:pStyle w:val="ConsPlusNormal"/>
            </w:pPr>
            <w:r>
              <w:t>5 - по группе обособленных подразделений, находящихся на территории одного субъекта Российской Федерации</w:t>
            </w:r>
          </w:p>
        </w:tc>
      </w:tr>
      <w:tr w:rsidR="00A84295" w:rsidTr="00781E2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/>
        </w:tc>
      </w:tr>
      <w:tr w:rsidR="00A84295" w:rsidTr="00781E2C">
        <w:tblPrEx>
          <w:tblBorders>
            <w:insideV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</w:tcBorders>
          </w:tcPr>
          <w:p w:rsidR="00A84295" w:rsidRDefault="00A84295" w:rsidP="00781E2C">
            <w:pPr>
              <w:pStyle w:val="ConsPlusNormal"/>
              <w:jc w:val="center"/>
            </w:pPr>
            <w:r>
              <w:t>Расчет составлен (код)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/>
        </w:tc>
      </w:tr>
      <w:tr w:rsidR="00A84295" w:rsidTr="00781E2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/>
        </w:tc>
      </w:tr>
    </w:tbl>
    <w:p w:rsidR="00A84295" w:rsidRDefault="00A84295" w:rsidP="00A842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72"/>
        <w:gridCol w:w="472"/>
        <w:gridCol w:w="472"/>
        <w:gridCol w:w="472"/>
        <w:gridCol w:w="472"/>
        <w:gridCol w:w="472"/>
        <w:gridCol w:w="472"/>
        <w:gridCol w:w="472"/>
        <w:gridCol w:w="474"/>
      </w:tblGrid>
      <w:tr w:rsidR="00A84295" w:rsidTr="00781E2C"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  <w:r>
              <w:t>КПП по месту учета организации/по месту нахождения обособленного подразделения (ответственного обособленного подразделения)</w:t>
            </w: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4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/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4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</w:tr>
    </w:tbl>
    <w:p w:rsidR="00A84295" w:rsidRDefault="00A84295" w:rsidP="00A842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680"/>
        <w:gridCol w:w="1928"/>
      </w:tblGrid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80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Сумма в рублях</w:t>
            </w: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3" w:name="P121"/>
            <w:bookmarkEnd w:id="3"/>
            <w:r>
              <w:t xml:space="preserve">Расходы на приобретение, сооружение, изготовление основных средств, доставку и доведение до состояния, в котором они пригодны для использования, указанные в </w:t>
            </w:r>
            <w:hyperlink r:id="rId24" w:history="1">
              <w:r>
                <w:rPr>
                  <w:color w:val="0000FF"/>
                </w:rPr>
                <w:t>абзаце втором пункта 1 статьи 257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010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4" w:name="P127"/>
            <w:bookmarkEnd w:id="4"/>
            <w:r>
              <w:t xml:space="preserve">Расходы по достройке, дооборудованию, реконструкции, модернизации, техническому перевооружению основных средств, указанные в </w:t>
            </w:r>
            <w:hyperlink r:id="rId25" w:history="1">
              <w:r>
                <w:rPr>
                  <w:color w:val="0000FF"/>
                </w:rPr>
                <w:t>пункте 2 статьи 257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011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5" w:name="P133"/>
            <w:bookmarkEnd w:id="5"/>
            <w:r>
              <w:t>Расходы в виде пожертвований, перечисленных государственным и муниципальным учреждениям, осуществляющим деятельность в области культуры, а также перечисленных некоммерческим организациям (фондам) на формирование целевого капитала в целях поддержки указанных учреждений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012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bookmarkStart w:id="6" w:name="P139"/>
            <w:bookmarkEnd w:id="6"/>
            <w:r>
              <w:t>Максимальный размер инвестиционного налогового вычета - всего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r>
              <w:t>в том числе:</w:t>
            </w:r>
          </w:p>
          <w:p w:rsidR="00A84295" w:rsidRDefault="00A84295" w:rsidP="00781E2C">
            <w:pPr>
              <w:pStyle w:val="ConsPlusNormal"/>
              <w:ind w:left="283"/>
              <w:jc w:val="both"/>
            </w:pPr>
            <w:r>
              <w:lastRenderedPageBreak/>
              <w:t xml:space="preserve">не более 90% расходов, указанных по </w:t>
            </w:r>
            <w:hyperlink w:anchor="P121" w:history="1">
              <w:r>
                <w:rPr>
                  <w:color w:val="0000FF"/>
                </w:rPr>
                <w:t>стр. 010</w:t>
              </w:r>
            </w:hyperlink>
            <w:r>
              <w:t>, или иной размер, установленный законом субъекта Российской Федерации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lastRenderedPageBreak/>
              <w:t>021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  <w:jc w:val="both"/>
            </w:pPr>
            <w:r>
              <w:lastRenderedPageBreak/>
              <w:t xml:space="preserve">не более 90% расходов, указанных по </w:t>
            </w:r>
            <w:hyperlink w:anchor="P127" w:history="1">
              <w:r>
                <w:rPr>
                  <w:color w:val="0000FF"/>
                </w:rPr>
                <w:t>стр. 011</w:t>
              </w:r>
            </w:hyperlink>
            <w:r>
              <w:t>, или иной размер, установленный законом субъекта Российской Федерации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firstLine="283"/>
              <w:jc w:val="both"/>
            </w:pPr>
            <w:r>
              <w:t xml:space="preserve">не более 100% расходов в виде пожертвований, указанных по </w:t>
            </w:r>
            <w:hyperlink w:anchor="P133" w:history="1">
              <w:r>
                <w:rPr>
                  <w:color w:val="0000FF"/>
                </w:rPr>
                <w:t>стр. 012</w:t>
              </w:r>
            </w:hyperlink>
            <w:r>
              <w:t>, или иной размер, установленный законом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023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bookmarkStart w:id="7" w:name="P155"/>
            <w:bookmarkEnd w:id="7"/>
            <w:r>
              <w:t>Остаток инвестиционного налогового вычета, не учтенного при исчислении налога за предыдущие налоговые периоды - всего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r>
              <w:t>в том числе в части:</w:t>
            </w:r>
          </w:p>
          <w:p w:rsidR="00A84295" w:rsidRDefault="00A84295" w:rsidP="00781E2C">
            <w:pPr>
              <w:pStyle w:val="ConsPlusNormal"/>
              <w:ind w:left="283"/>
            </w:pPr>
            <w:r>
              <w:t>расходов на приобретение, сооружение, изготовление основных средств, доставку и доведение до состояния, в котором они пригодны для использования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r>
              <w:t>расходов по достройке, дооборудованию, реконструкции, модернизации, техническому перевооружению основных средств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r>
              <w:t>в виде пожертвований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033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8" w:name="P171"/>
            <w:bookmarkEnd w:id="8"/>
            <w:r>
              <w:t>Предельная величина инвестиционного налогового вычета текущего налогового (отчетного) периода (</w:t>
            </w:r>
            <w:hyperlink w:anchor="P285" w:history="1">
              <w:r>
                <w:rPr>
                  <w:color w:val="0000FF"/>
                </w:rPr>
                <w:t>стр. 032 Раздела</w:t>
              </w:r>
              <w:proofErr w:type="gramStart"/>
              <w:r>
                <w:rPr>
                  <w:color w:val="0000FF"/>
                </w:rPr>
                <w:t xml:space="preserve"> В</w:t>
              </w:r>
              <w:proofErr w:type="gramEnd"/>
            </w:hyperlink>
            <w:r>
              <w:t xml:space="preserve"> или </w:t>
            </w:r>
            <w:hyperlink w:anchor="P350" w:history="1">
              <w:r>
                <w:rPr>
                  <w:color w:val="0000FF"/>
                </w:rPr>
                <w:t>стр. 032 Раздела Г</w:t>
              </w:r>
            </w:hyperlink>
            <w:r>
              <w:t>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040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9" w:name="P177"/>
            <w:bookmarkEnd w:id="9"/>
            <w:r>
              <w:t>Возможная сумма инвестиционного налогового вычета текущего налогового (отчетного) периода (</w:t>
            </w:r>
            <w:hyperlink w:anchor="P139" w:history="1">
              <w:r>
                <w:rPr>
                  <w:color w:val="0000FF"/>
                </w:rPr>
                <w:t>стр. 020</w:t>
              </w:r>
            </w:hyperlink>
            <w:r>
              <w:t xml:space="preserve"> + </w:t>
            </w:r>
            <w:hyperlink w:anchor="P155" w:history="1">
              <w:r>
                <w:rPr>
                  <w:color w:val="0000FF"/>
                </w:rPr>
                <w:t>стр. 030</w:t>
              </w:r>
            </w:hyperlink>
            <w:r>
              <w:t xml:space="preserve">), но не более </w:t>
            </w:r>
            <w:hyperlink w:anchor="P171" w:history="1">
              <w:r>
                <w:rPr>
                  <w:color w:val="0000FF"/>
                </w:rPr>
                <w:t>стр. 040</w:t>
              </w:r>
            </w:hyperlink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050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outlineLvl w:val="2"/>
            </w:pPr>
            <w:r>
              <w:t xml:space="preserve">Сумма инвестиционного налогового вычета, учитываемая в текущем налоговом (отчетном) периоде (не выше </w:t>
            </w:r>
            <w:hyperlink w:anchor="P177" w:history="1">
              <w:r>
                <w:rPr>
                  <w:color w:val="0000FF"/>
                </w:rPr>
                <w:t>стр. 050</w:t>
              </w:r>
            </w:hyperlink>
            <w:r>
              <w:t>) - всего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060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r>
              <w:t>в том числе в части:</w:t>
            </w:r>
          </w:p>
          <w:p w:rsidR="00A84295" w:rsidRDefault="00A84295" w:rsidP="00781E2C">
            <w:pPr>
              <w:pStyle w:val="ConsPlusNormal"/>
              <w:ind w:left="283"/>
            </w:pPr>
            <w:r>
              <w:t>расходов на приобретение, сооружение, изготовление основных средств, доставку и доведение до состояния, в котором они пригодны для использования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061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r>
              <w:t>расходов по достройке, дооборудованию, реконструкции, модернизации, техническому перевооружению основных средств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062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r>
              <w:t>в виде пожертвований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063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r>
              <w:t xml:space="preserve">Остаток не учтенного инвестиционного налогового вычета на конец налогового периода </w:t>
            </w:r>
            <w:hyperlink w:anchor="P2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070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r>
              <w:t>в том числе в части:</w:t>
            </w:r>
          </w:p>
          <w:p w:rsidR="00A84295" w:rsidRDefault="00A84295" w:rsidP="00781E2C">
            <w:pPr>
              <w:pStyle w:val="ConsPlusNormal"/>
              <w:ind w:left="283"/>
            </w:pPr>
            <w:r>
              <w:t>расходов на приобретение, сооружение, изготовление основных средств, доставку и доведение до состояния, в котором они пригодны для использования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071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r>
              <w:lastRenderedPageBreak/>
              <w:t>расходов по достройке, дооборудованию, реконструкции, модернизации, техническому перевооружению основных средств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072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r>
              <w:t>в виде пожертвований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073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</w:tbl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nformat"/>
        <w:jc w:val="both"/>
      </w:pPr>
      <w:r>
        <w:t xml:space="preserve">    --------------------------------</w:t>
      </w:r>
    </w:p>
    <w:p w:rsidR="00A84295" w:rsidRDefault="00A84295" w:rsidP="00A84295">
      <w:pPr>
        <w:pStyle w:val="ConsPlusNonformat"/>
        <w:jc w:val="both"/>
      </w:pPr>
      <w:bookmarkStart w:id="10" w:name="P214"/>
      <w:bookmarkEnd w:id="10"/>
      <w:r>
        <w:t>&lt;*&gt; заполняется за налоговый период</w:t>
      </w:r>
    </w:p>
    <w:p w:rsidR="00A84295" w:rsidRDefault="00A84295" w:rsidP="00A84295">
      <w:pPr>
        <w:pStyle w:val="ConsPlusNonformat"/>
        <w:jc w:val="both"/>
      </w:pPr>
    </w:p>
    <w:p w:rsidR="00A84295" w:rsidRDefault="00A84295" w:rsidP="00A84295">
      <w:pPr>
        <w:pStyle w:val="ConsPlusNonformat"/>
        <w:jc w:val="both"/>
      </w:pPr>
      <w:r>
        <w:t xml:space="preserve">      Раздел Б. Расчет уменьшения суммы авансовых платежей и налога,</w:t>
      </w:r>
    </w:p>
    <w:p w:rsidR="00A84295" w:rsidRDefault="00A84295" w:rsidP="00A84295">
      <w:pPr>
        <w:pStyle w:val="ConsPlusNonformat"/>
        <w:jc w:val="both"/>
      </w:pPr>
      <w:r>
        <w:t xml:space="preserve">        подлежащих зачислению в федеральный бюджет, при применении</w:t>
      </w:r>
    </w:p>
    <w:p w:rsidR="00A84295" w:rsidRDefault="00A84295" w:rsidP="00A84295">
      <w:pPr>
        <w:pStyle w:val="ConsPlusNonformat"/>
        <w:jc w:val="both"/>
      </w:pPr>
      <w:r>
        <w:t xml:space="preserve">           налогоплательщиком инвестиционного налогового вычета</w:t>
      </w:r>
    </w:p>
    <w:p w:rsidR="00A84295" w:rsidRDefault="00A84295" w:rsidP="00A842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680"/>
        <w:gridCol w:w="1928"/>
      </w:tblGrid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80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Сумма в рублях</w:t>
            </w: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11" w:name="P223"/>
            <w:bookmarkEnd w:id="11"/>
            <w:r>
              <w:t xml:space="preserve">Сумма налога, исчисленная для уплаты в федеральный бюджет по ставке, установленной </w:t>
            </w:r>
            <w:hyperlink r:id="rId26" w:history="1">
              <w:r>
                <w:rPr>
                  <w:color w:val="0000FF"/>
                </w:rPr>
                <w:t>пунктом 1 статьи 284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010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12" w:name="P229"/>
            <w:bookmarkEnd w:id="12"/>
            <w:r>
              <w:t>Расходы, учитываемые для расчета уменьшения платежей в федеральный бюджет - всего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r>
              <w:t>в том числе:</w:t>
            </w:r>
          </w:p>
          <w:p w:rsidR="00A84295" w:rsidRDefault="00A84295" w:rsidP="00781E2C">
            <w:pPr>
              <w:pStyle w:val="ConsPlusNormal"/>
              <w:ind w:left="283"/>
            </w:pPr>
            <w:r>
              <w:t xml:space="preserve">10% расходов на приобретение, сооружение, изготовление основных средств, доставку и доведение до состояния, в котором они пригодны для использования, указанных по </w:t>
            </w:r>
            <w:hyperlink w:anchor="P121" w:history="1">
              <w:r>
                <w:rPr>
                  <w:color w:val="0000FF"/>
                </w:rPr>
                <w:t>стр. 010 Раздела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r>
              <w:t>10% расходов по достройке, дооборудованию, реконструкции, модернизации, техническому перевооружению основных средств,</w:t>
            </w:r>
          </w:p>
          <w:p w:rsidR="00A84295" w:rsidRDefault="00A84295" w:rsidP="00781E2C">
            <w:pPr>
              <w:pStyle w:val="ConsPlusNormal"/>
            </w:pPr>
            <w:r>
              <w:t>указанных</w:t>
            </w:r>
          </w:p>
          <w:p w:rsidR="00A84295" w:rsidRDefault="00A84295" w:rsidP="00781E2C">
            <w:pPr>
              <w:pStyle w:val="ConsPlusNormal"/>
              <w:ind w:left="283"/>
            </w:pPr>
            <w:r>
              <w:t xml:space="preserve">по </w:t>
            </w:r>
            <w:hyperlink w:anchor="P127" w:history="1">
              <w:r>
                <w:rPr>
                  <w:color w:val="0000FF"/>
                </w:rPr>
                <w:t>стр. 011 Раздела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13" w:name="P244"/>
            <w:bookmarkEnd w:id="13"/>
            <w:r>
              <w:t>Сумма расходов, на которую могут быть уменьшены платежи в федеральный бюджет (</w:t>
            </w:r>
            <w:hyperlink w:anchor="P229" w:history="1">
              <w:r>
                <w:rPr>
                  <w:color w:val="0000FF"/>
                </w:rPr>
                <w:t>стр. 020</w:t>
              </w:r>
            </w:hyperlink>
            <w:r>
              <w:t xml:space="preserve">, но не более показателя </w:t>
            </w:r>
            <w:hyperlink w:anchor="P223" w:history="1">
              <w:r>
                <w:rPr>
                  <w:color w:val="0000FF"/>
                </w:rPr>
                <w:t>стр. 010</w:t>
              </w:r>
            </w:hyperlink>
            <w:r>
              <w:t>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  <w:outlineLvl w:val="2"/>
            </w:pPr>
            <w:r>
              <w:t xml:space="preserve">Сумма расходов, на которую уменьшаются платежи в федеральный бюджет текущего налогового (отчетного) периода (не выше показателя </w:t>
            </w:r>
            <w:hyperlink w:anchor="P244" w:history="1">
              <w:r>
                <w:rPr>
                  <w:color w:val="0000FF"/>
                </w:rPr>
                <w:t>стр. 030</w:t>
              </w:r>
            </w:hyperlink>
            <w:r>
              <w:t>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040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</w:tbl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nformat"/>
        <w:jc w:val="both"/>
      </w:pPr>
      <w:r>
        <w:t xml:space="preserve">      Раздел В. Расчет предельной величины </w:t>
      </w:r>
      <w:proofErr w:type="gramStart"/>
      <w:r>
        <w:t>инвестиционного</w:t>
      </w:r>
      <w:proofErr w:type="gramEnd"/>
      <w:r>
        <w:t xml:space="preserve"> налогового</w:t>
      </w:r>
    </w:p>
    <w:p w:rsidR="00A84295" w:rsidRDefault="00A84295" w:rsidP="00A84295">
      <w:pPr>
        <w:pStyle w:val="ConsPlusNonformat"/>
        <w:jc w:val="both"/>
      </w:pPr>
      <w:r>
        <w:t xml:space="preserve">       вычета из авансовых платежей и налога, подлежащих зачислению</w:t>
      </w:r>
    </w:p>
    <w:p w:rsidR="00A84295" w:rsidRDefault="00A84295" w:rsidP="00A84295">
      <w:pPr>
        <w:pStyle w:val="ConsPlusNonformat"/>
        <w:jc w:val="both"/>
      </w:pPr>
      <w:r>
        <w:t xml:space="preserve">          в бюджет субъекта Российской Федерации, по организации,</w:t>
      </w:r>
    </w:p>
    <w:p w:rsidR="00A84295" w:rsidRDefault="00A84295" w:rsidP="00A84295">
      <w:pPr>
        <w:pStyle w:val="ConsPlusNonformat"/>
        <w:jc w:val="both"/>
      </w:pPr>
      <w:r>
        <w:t xml:space="preserve">                   не </w:t>
      </w:r>
      <w:proofErr w:type="gramStart"/>
      <w:r>
        <w:t>имеющей</w:t>
      </w:r>
      <w:proofErr w:type="gramEnd"/>
      <w:r>
        <w:t xml:space="preserve"> обособленных подразделений</w:t>
      </w:r>
    </w:p>
    <w:p w:rsidR="00A84295" w:rsidRDefault="00A84295" w:rsidP="00A842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680"/>
        <w:gridCol w:w="1928"/>
      </w:tblGrid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80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Сумма в рублях</w:t>
            </w: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bookmarkStart w:id="14" w:name="P262"/>
            <w:bookmarkEnd w:id="14"/>
            <w:r>
              <w:t xml:space="preserve">Налоговая база для исчисления налога, указанная по </w:t>
            </w:r>
            <w:hyperlink r:id="rId27" w:history="1">
              <w:r>
                <w:rPr>
                  <w:color w:val="0000FF"/>
                </w:rPr>
                <w:t>строке 120</w:t>
              </w:r>
            </w:hyperlink>
            <w:r>
              <w:t xml:space="preserve"> Листа 02 декларации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010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15" w:name="P268"/>
            <w:bookmarkEnd w:id="15"/>
            <w:r>
              <w:lastRenderedPageBreak/>
              <w:t>Ставка налога, применяемая для расчета предельной величины инвестиционного налогового вычета (5% или иной размер, установленный решением субъекта Российской Федерации) %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bookmarkStart w:id="16" w:name="P274"/>
            <w:bookmarkEnd w:id="16"/>
            <w:r>
              <w:t>Расчетная сумма налога в бюджет субъекта Российской Федерации:</w:t>
            </w:r>
          </w:p>
          <w:p w:rsidR="00A84295" w:rsidRDefault="00A84295" w:rsidP="00781E2C">
            <w:pPr>
              <w:pStyle w:val="ConsPlusNormal"/>
              <w:ind w:left="283"/>
            </w:pPr>
            <w:proofErr w:type="gramStart"/>
            <w:r>
              <w:t>исчисленная</w:t>
            </w:r>
            <w:proofErr w:type="gramEnd"/>
            <w:r>
              <w:t xml:space="preserve"> без учета положений </w:t>
            </w:r>
            <w:hyperlink r:id="rId28" w:history="1">
              <w:r>
                <w:rPr>
                  <w:color w:val="0000FF"/>
                </w:rPr>
                <w:t>статьи 286.1</w:t>
              </w:r>
            </w:hyperlink>
          </w:p>
          <w:p w:rsidR="00A84295" w:rsidRDefault="00A84295" w:rsidP="00781E2C">
            <w:pPr>
              <w:pStyle w:val="ConsPlusNormal"/>
              <w:ind w:left="283"/>
            </w:pPr>
            <w:r>
              <w:t>Налогового кодекса Российской Федерации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bookmarkStart w:id="17" w:name="P279"/>
            <w:bookmarkEnd w:id="17"/>
            <w:proofErr w:type="gramStart"/>
            <w:r>
              <w:t>исчисленная</w:t>
            </w:r>
            <w:proofErr w:type="gramEnd"/>
            <w:r>
              <w:t xml:space="preserve"> по ставке, применяемой для расчета предельной величины инвестиционного налогового вычета (</w:t>
            </w:r>
            <w:hyperlink w:anchor="P262" w:history="1">
              <w:r>
                <w:rPr>
                  <w:color w:val="0000FF"/>
                </w:rPr>
                <w:t>стр. 010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268" w:history="1">
              <w:r>
                <w:rPr>
                  <w:color w:val="0000FF"/>
                </w:rPr>
                <w:t>стр. 020</w:t>
              </w:r>
            </w:hyperlink>
            <w:r>
              <w:t xml:space="preserve"> / 100)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  <w:outlineLvl w:val="2"/>
            </w:pPr>
            <w:bookmarkStart w:id="18" w:name="P285"/>
            <w:bookmarkEnd w:id="18"/>
            <w:r>
              <w:t>Предельная величина инвестиционного налогового вычета текущего налогового (отчетного) периода (</w:t>
            </w:r>
            <w:hyperlink w:anchor="P274" w:history="1">
              <w:r>
                <w:rPr>
                  <w:color w:val="0000FF"/>
                </w:rPr>
                <w:t>стр. 030</w:t>
              </w:r>
            </w:hyperlink>
            <w:r>
              <w:t xml:space="preserve"> - </w:t>
            </w:r>
            <w:hyperlink w:anchor="P279" w:history="1">
              <w:r>
                <w:rPr>
                  <w:color w:val="0000FF"/>
                </w:rPr>
                <w:t>стр. 031</w:t>
              </w:r>
            </w:hyperlink>
            <w:r>
              <w:t>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</w:tbl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nformat"/>
        <w:jc w:val="both"/>
      </w:pPr>
      <w:r>
        <w:t xml:space="preserve">      Раздел Г. Расчет предельной величины </w:t>
      </w:r>
      <w:proofErr w:type="gramStart"/>
      <w:r>
        <w:t>инвестиционного</w:t>
      </w:r>
      <w:proofErr w:type="gramEnd"/>
      <w:r>
        <w:t xml:space="preserve"> налогового</w:t>
      </w:r>
    </w:p>
    <w:p w:rsidR="00A84295" w:rsidRDefault="00A84295" w:rsidP="00A84295">
      <w:pPr>
        <w:pStyle w:val="ConsPlusNonformat"/>
        <w:jc w:val="both"/>
      </w:pPr>
      <w:r>
        <w:t xml:space="preserve">       вычета из авансовых платежей и налога, подлежащих зачислению</w:t>
      </w:r>
    </w:p>
    <w:p w:rsidR="00A84295" w:rsidRDefault="00A84295" w:rsidP="00A84295">
      <w:pPr>
        <w:pStyle w:val="ConsPlusNonformat"/>
        <w:jc w:val="both"/>
      </w:pPr>
      <w:proofErr w:type="gramStart"/>
      <w:r>
        <w:t>в бюджет субъекта Российской Федерации (по организации,</w:t>
      </w:r>
      <w:proofErr w:type="gramEnd"/>
    </w:p>
    <w:p w:rsidR="00A84295" w:rsidRDefault="00A84295" w:rsidP="00A84295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обособленные подразделения)</w:t>
      </w:r>
    </w:p>
    <w:p w:rsidR="00A84295" w:rsidRDefault="00A84295" w:rsidP="00A842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462"/>
        <w:gridCol w:w="5669"/>
      </w:tblGrid>
      <w:tr w:rsidR="00A84295" w:rsidTr="00781E2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  <w:r>
              <w:t>2 - по организации без входящих в нее обособленных подразделений</w:t>
            </w:r>
          </w:p>
          <w:p w:rsidR="00A84295" w:rsidRDefault="00A84295" w:rsidP="00781E2C">
            <w:pPr>
              <w:pStyle w:val="ConsPlusNormal"/>
            </w:pPr>
            <w:r>
              <w:t>3 - по обособленному подразделению</w:t>
            </w:r>
          </w:p>
          <w:p w:rsidR="00A84295" w:rsidRDefault="00A84295" w:rsidP="00781E2C">
            <w:pPr>
              <w:pStyle w:val="ConsPlusNormal"/>
            </w:pPr>
            <w:r>
              <w:t>4 - по обособленному подразделению, закрытому в течение текущего налогового периода</w:t>
            </w:r>
          </w:p>
          <w:p w:rsidR="00A84295" w:rsidRDefault="00A84295" w:rsidP="00781E2C">
            <w:pPr>
              <w:pStyle w:val="ConsPlusNormal"/>
            </w:pPr>
            <w:r>
              <w:t>5 - по группе обособленных подразделений, находящихся на территории одного субъекта Российской Федерации</w:t>
            </w:r>
          </w:p>
        </w:tc>
      </w:tr>
      <w:tr w:rsidR="00A84295" w:rsidTr="00781E2C">
        <w:tblPrEx>
          <w:tblBorders>
            <w:insideV w:val="single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</w:tcBorders>
          </w:tcPr>
          <w:p w:rsidR="00A84295" w:rsidRDefault="00A84295" w:rsidP="00781E2C">
            <w:pPr>
              <w:pStyle w:val="ConsPlusNormal"/>
              <w:jc w:val="center"/>
            </w:pPr>
            <w:r>
              <w:t>Расчет составлен (код)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/>
        </w:tc>
      </w:tr>
      <w:tr w:rsidR="00A84295" w:rsidTr="00781E2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/>
        </w:tc>
      </w:tr>
    </w:tbl>
    <w:p w:rsidR="00A84295" w:rsidRDefault="00A84295" w:rsidP="00A842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72"/>
        <w:gridCol w:w="472"/>
        <w:gridCol w:w="472"/>
        <w:gridCol w:w="472"/>
        <w:gridCol w:w="472"/>
        <w:gridCol w:w="472"/>
        <w:gridCol w:w="472"/>
        <w:gridCol w:w="472"/>
        <w:gridCol w:w="474"/>
      </w:tblGrid>
      <w:tr w:rsidR="00A84295" w:rsidTr="00781E2C"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  <w:r>
              <w:t>КПП по месту учета организации/по месту нахождения обособленного подразделения (ответственного обособленного подразделения)</w:t>
            </w: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4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95" w:rsidRDefault="00A84295" w:rsidP="00781E2C"/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474" w:type="dxa"/>
            <w:tcBorders>
              <w:left w:val="nil"/>
              <w:bottom w:val="nil"/>
              <w:right w:val="nil"/>
            </w:tcBorders>
          </w:tcPr>
          <w:p w:rsidR="00A84295" w:rsidRDefault="00A84295" w:rsidP="00781E2C">
            <w:pPr>
              <w:pStyle w:val="ConsPlusNormal"/>
            </w:pPr>
          </w:p>
        </w:tc>
      </w:tr>
    </w:tbl>
    <w:p w:rsidR="00A84295" w:rsidRDefault="00A84295" w:rsidP="00A842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680"/>
        <w:gridCol w:w="1928"/>
      </w:tblGrid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80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  <w:jc w:val="center"/>
            </w:pPr>
            <w:r>
              <w:t>Сумма в рублях</w:t>
            </w: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19" w:name="P328"/>
            <w:bookmarkEnd w:id="19"/>
            <w:r>
              <w:t>Налоговая база исходя из доли, приходящейся на организацию, обособленное подразделение, группу обособленных подразделений (</w:t>
            </w:r>
            <w:hyperlink r:id="rId29" w:history="1">
              <w:r>
                <w:rPr>
                  <w:color w:val="0000FF"/>
                </w:rPr>
                <w:t>стр. 50</w:t>
              </w:r>
            </w:hyperlink>
            <w:r>
              <w:t xml:space="preserve"> Приложения N 5 к Листу 02 декларации)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010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jc w:val="both"/>
            </w:pPr>
            <w:bookmarkStart w:id="20" w:name="P334"/>
            <w:bookmarkEnd w:id="20"/>
            <w:r>
              <w:t>Ставка налога, применяемая для расчета предельной величины инвестиционного налогового вычета (5% или иной размер, установленный решением субъекта Российской Федерации) %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020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  <w:bookmarkStart w:id="21" w:name="P340"/>
            <w:bookmarkEnd w:id="21"/>
            <w:r>
              <w:t>Расчетная сумма налога в бюджет субъекта Российской Федерации:</w:t>
            </w:r>
          </w:p>
          <w:p w:rsidR="00A84295" w:rsidRDefault="00A84295" w:rsidP="00781E2C">
            <w:pPr>
              <w:pStyle w:val="ConsPlusNormal"/>
              <w:ind w:left="283"/>
            </w:pPr>
            <w:proofErr w:type="gramStart"/>
            <w:r>
              <w:t>исчисленная</w:t>
            </w:r>
            <w:proofErr w:type="gramEnd"/>
            <w:r>
              <w:t xml:space="preserve"> без учета положений </w:t>
            </w:r>
            <w:hyperlink r:id="rId30" w:history="1">
              <w:r>
                <w:rPr>
                  <w:color w:val="0000FF"/>
                </w:rPr>
                <w:t>статьи 286.1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030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ind w:left="283"/>
            </w:pPr>
            <w:bookmarkStart w:id="22" w:name="P344"/>
            <w:bookmarkEnd w:id="22"/>
            <w:proofErr w:type="gramStart"/>
            <w:r>
              <w:t>исчисленная</w:t>
            </w:r>
            <w:proofErr w:type="gramEnd"/>
            <w:r>
              <w:t xml:space="preserve"> по ставке, применяемой для расчета предельной величины инвестиционного налогового вычета (</w:t>
            </w:r>
            <w:hyperlink w:anchor="P328" w:history="1">
              <w:r>
                <w:rPr>
                  <w:color w:val="0000FF"/>
                </w:rPr>
                <w:t>стр. 010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334" w:history="1">
              <w:r>
                <w:rPr>
                  <w:color w:val="0000FF"/>
                </w:rPr>
                <w:t>стр. 020</w:t>
              </w:r>
            </w:hyperlink>
            <w:r>
              <w:t xml:space="preserve"> / 100)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031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  <w:tr w:rsidR="00A84295" w:rsidTr="00781E2C">
        <w:tc>
          <w:tcPr>
            <w:tcW w:w="6463" w:type="dxa"/>
          </w:tcPr>
          <w:p w:rsidR="00A84295" w:rsidRDefault="00A84295" w:rsidP="00781E2C">
            <w:pPr>
              <w:pStyle w:val="ConsPlusNormal"/>
              <w:outlineLvl w:val="2"/>
            </w:pPr>
            <w:bookmarkStart w:id="23" w:name="P350"/>
            <w:bookmarkEnd w:id="23"/>
            <w:r>
              <w:t>Предельная величина инвестиционного налогового вычета текущего налогового (отчетного) периода (</w:t>
            </w:r>
            <w:hyperlink w:anchor="P340" w:history="1">
              <w:r>
                <w:rPr>
                  <w:color w:val="0000FF"/>
                </w:rPr>
                <w:t>стр. 030</w:t>
              </w:r>
            </w:hyperlink>
            <w:r>
              <w:t xml:space="preserve"> - </w:t>
            </w:r>
            <w:hyperlink w:anchor="P344" w:history="1">
              <w:r>
                <w:rPr>
                  <w:color w:val="0000FF"/>
                </w:rPr>
                <w:t>стр. 031</w:t>
              </w:r>
            </w:hyperlink>
            <w:r>
              <w:t>)</w:t>
            </w:r>
          </w:p>
        </w:tc>
        <w:tc>
          <w:tcPr>
            <w:tcW w:w="680" w:type="dxa"/>
            <w:vAlign w:val="bottom"/>
          </w:tcPr>
          <w:p w:rsidR="00A84295" w:rsidRDefault="00A84295" w:rsidP="00781E2C">
            <w:pPr>
              <w:pStyle w:val="ConsPlusNormal"/>
            </w:pPr>
            <w:r>
              <w:t>032</w:t>
            </w:r>
          </w:p>
        </w:tc>
        <w:tc>
          <w:tcPr>
            <w:tcW w:w="1928" w:type="dxa"/>
          </w:tcPr>
          <w:p w:rsidR="00A84295" w:rsidRDefault="00A84295" w:rsidP="00781E2C">
            <w:pPr>
              <w:pStyle w:val="ConsPlusNormal"/>
            </w:pPr>
          </w:p>
        </w:tc>
      </w:tr>
    </w:tbl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both"/>
      </w:pPr>
      <w:r>
        <w:t>Количество Разделов Г зависит от числа обособленных подразделений (групп обособленных подразделений), расположенных в субъектах Российской Федерации, принявших законы о применении инвестиционного налогового вычета.</w:t>
      </w: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jc w:val="both"/>
      </w:pPr>
    </w:p>
    <w:p w:rsidR="00A84295" w:rsidRDefault="00A84295" w:rsidP="00A842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295" w:rsidRDefault="00A84295" w:rsidP="00A84295"/>
    <w:p w:rsidR="00A84295" w:rsidRDefault="00A84295"/>
    <w:sectPr w:rsidR="00A84295" w:rsidSect="00CC2E09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B56"/>
    <w:multiLevelType w:val="multilevel"/>
    <w:tmpl w:val="D7EADC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B38E5"/>
    <w:multiLevelType w:val="multilevel"/>
    <w:tmpl w:val="C73E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172A3"/>
    <w:multiLevelType w:val="multilevel"/>
    <w:tmpl w:val="325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295"/>
    <w:rsid w:val="000A0B91"/>
    <w:rsid w:val="00A84295"/>
    <w:rsid w:val="00CB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2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2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A84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3ADDBD535157EA3837EB04B810F0BDCC36EDCC8E92DC8B62381B0AA9ACA10CF2782E7B0F5A9103B291A525C13A0DBD8BCC4A6A968503B3L4X5G" TargetMode="External"/><Relationship Id="rId18" Type="http://schemas.openxmlformats.org/officeDocument/2006/relationships/hyperlink" Target="consultantplus://offline/ref=3ADDBD535157EA3837EB04B810F0BDCC37EFCC8893D88B62381B0AA9ACA10CF2782E7B0F5F910FBC92FA20D42B55B082DB556B889901B24DL5X2G" TargetMode="External"/><Relationship Id="rId26" Type="http://schemas.openxmlformats.org/officeDocument/2006/relationships/hyperlink" Target="consultantplus://offline/ref=3ADDBD535157EA3837EB04B810F0BDCC36EDCC8E92DC8B62381B0AA9ACA10CF2782E7B0F5E9302BF91A525C13A0DBD8BCC4A6A968503B3L4X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DDBD535157EA3837EB04B810F0BDCC37EFCC8893D88B62381B0AA9ACA10CF2782E7B0F5F910AB99CFA20D42B55B082DB556B889901B24DL5X2G" TargetMode="Externa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3ADDBD535157EA3837EB04B810F0BDCC37EFCC8893D88B62381B0AA9ACA10CF2782E7B0F5F910BB89EFA20D42B55B082DB556B889901B24DL5X2G" TargetMode="External"/><Relationship Id="rId17" Type="http://schemas.openxmlformats.org/officeDocument/2006/relationships/hyperlink" Target="consultantplus://offline/ref=3ADDBD535157EA3837EB04B810F0BDCC37EFCC8893D88B62381B0AA9ACA10CF2782E7B0F5F910FBC92FA20D42B55B082DB556B889901B24DL5X2G" TargetMode="External"/><Relationship Id="rId25" Type="http://schemas.openxmlformats.org/officeDocument/2006/relationships/hyperlink" Target="consultantplus://offline/ref=3ADDBD535157EA3837EB04B810F0BDCC36EDCC8E92DC8B62381B0AA9ACA10CF2782E7B0F5F930BB29BFA20D42B55B082DB556B889901B24DL5X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DDBD535157EA3837EB04B810F0BDCC37EFCC8893D88B62381B0AA9ACA10CF2782E7B0F5F910ABC9CFA20D42B55B082DB556B889901B24DL5X2G" TargetMode="External"/><Relationship Id="rId20" Type="http://schemas.openxmlformats.org/officeDocument/2006/relationships/hyperlink" Target="consultantplus://offline/ref=3ADDBD535157EA3837EB04B810F0BDCC36EDCC8E92DC8B62381B0AA9ACA10CF2782E7B0F5A9102B991A525C13A0DBD8BCC4A6A968503B3L4X5G" TargetMode="External"/><Relationship Id="rId29" Type="http://schemas.openxmlformats.org/officeDocument/2006/relationships/hyperlink" Target="consultantplus://offline/ref=3ADDBD535157EA3837EB04B810F0BDCC37EFCC8893D88B62381B0AA9ACA10CF2782E7B0F5F910FBC9FFA20D42B55B082DB556B889901B24DL5X2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consultantplus://offline/ref=3ADDBD535157EA3837EB04B810F0BDCC36EDCC8E92DC8B62381B0AA9ACA10CF2782E7B0A5D960BB1CEA030D06200B49CD34B748A8702LBXB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2AB8A7FB00A17ECA1F3705BFF35E1988F4120E6C76BDB919346377688D52676064D47140E55483C16209F9EEBF2E11A2F8E55E7BF67EEQAnBN" TargetMode="External"/><Relationship Id="rId15" Type="http://schemas.openxmlformats.org/officeDocument/2006/relationships/hyperlink" Target="consultantplus://offline/ref=3ADDBD535157EA3837EB04B810F0BDCC37EFCC8893D88B62381B0AA9ACA10CF2782E7B0F5F900AB993FA20D42B55B082DB556B889901B24DL5X2G" TargetMode="External"/><Relationship Id="rId23" Type="http://schemas.openxmlformats.org/officeDocument/2006/relationships/hyperlink" Target="consultantplus://offline/ref=3ADDBD535157EA3837EB04B810F0BDCC37EFCC8893D88B62381B0AA9ACA10CF2782E7B0F5F910BB89EFA20D42B55B082DB556B889901B24DL5X2G" TargetMode="External"/><Relationship Id="rId28" Type="http://schemas.openxmlformats.org/officeDocument/2006/relationships/hyperlink" Target="consultantplus://offline/ref=3ADDBD535157EA3837EB04B810F0BDCC36EDCC8E92DC8B62381B0AA9ACA10CF2782E7B0F5A9103B291A525C13A0DBD8BCC4A6A968503B3L4X5G" TargetMode="External"/><Relationship Id="rId10" Type="http://schemas.openxmlformats.org/officeDocument/2006/relationships/hyperlink" Target="consultantplus://offline/ref=D2AB8A7FB00A17ECA1F3705BFF35E1988F4120E6C76BDB919346377688D52676064D47140E524F3916209F9EEBF2E11A2F8E55E7BF67EEQAnBN" TargetMode="External"/><Relationship Id="rId19" Type="http://schemas.openxmlformats.org/officeDocument/2006/relationships/hyperlink" Target="consultantplus://offline/ref=3ADDBD535157EA3837EB04B810F0BDCC37EFCC8893D88B62381B0AA9ACA10CF2782E7B0F5F910ABC9CFA20D42B55B082DB556B889901B24DL5X2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AB8A7FB00A17ECA1F3705BFF35E1988F4120E6C76BDB919346377688D52676064D47140E55483D16209F9EEBF2E11A2F8E55E7BF67EEQAnBN" TargetMode="External"/><Relationship Id="rId14" Type="http://schemas.openxmlformats.org/officeDocument/2006/relationships/hyperlink" Target="consultantplus://offline/ref=3ADDBD535157EA3837EB04B810F0BDCC37EFCC8893D88B62381B0AA9ACA10CF2782E7B0F5F910BB89EFA20D42B55B082DB556B889901B24DL5X2G" TargetMode="External"/><Relationship Id="rId22" Type="http://schemas.openxmlformats.org/officeDocument/2006/relationships/hyperlink" Target="consultantplus://offline/ref=3ADDBD535157EA3837EB04B810F0BDCC37EFCC8893D88B62381B0AA9ACA10CF2782E7B0F5F910ABC9FFA20D42B55B082DB556B889901B24DL5X2G" TargetMode="External"/><Relationship Id="rId27" Type="http://schemas.openxmlformats.org/officeDocument/2006/relationships/hyperlink" Target="consultantplus://offline/ref=3ADDBD535157EA3837EB04B810F0BDCC37EFCC8893D88B62381B0AA9ACA10CF2782E7B0F5F910ABF9CFA20D42B55B082DB556B889901B24DL5X2G" TargetMode="External"/><Relationship Id="rId30" Type="http://schemas.openxmlformats.org/officeDocument/2006/relationships/hyperlink" Target="consultantplus://offline/ref=3ADDBD535157EA3837EB04B810F0BDCC36EDCC8E92DC8B62381B0AA9ACA10CF2782E7B0F5A9103B291A525C13A0DBD8BCC4A6A968503B3L4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2019-11-08T06:07:00Z</dcterms:created>
  <dcterms:modified xsi:type="dcterms:W3CDTF">2019-11-08T06:52:00Z</dcterms:modified>
</cp:coreProperties>
</file>