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FC" w:rsidRPr="004237FC" w:rsidRDefault="004237FC" w:rsidP="004237FC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4237FC">
        <w:rPr>
          <w:b/>
          <w:bCs/>
          <w:color w:val="000000"/>
          <w:sz w:val="28"/>
          <w:szCs w:val="28"/>
          <w:u w:val="single"/>
        </w:rPr>
        <w:t>Информация по ограничению роста размера платы граждан за коммунальные услуги во втором полугодии 2015 года.</w:t>
      </w:r>
    </w:p>
    <w:p w:rsidR="00080418" w:rsidRPr="000F69AB" w:rsidRDefault="008D6C6E" w:rsidP="00FB02E6">
      <w:pPr>
        <w:shd w:val="clear" w:color="auto" w:fill="FFFFFF"/>
        <w:spacing w:before="100" w:beforeAutospacing="1" w:after="100" w:afterAutospacing="1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Изменение платы граждан за коммунальные услуги с 1 июля 2015 года строго ограничено и находится на постоянном контроле</w:t>
      </w:r>
      <w:r w:rsidR="00FB02E6">
        <w:rPr>
          <w:b/>
          <w:bCs/>
          <w:color w:val="000000"/>
          <w:sz w:val="28"/>
          <w:szCs w:val="28"/>
        </w:rPr>
        <w:t>.</w:t>
      </w:r>
    </w:p>
    <w:p w:rsidR="008D6C6E" w:rsidRPr="000F69AB" w:rsidRDefault="008D6C6E" w:rsidP="008D6C6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0F69A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Ростовской области действует </w:t>
      </w:r>
      <w:r w:rsidRPr="000F69AB">
        <w:rPr>
          <w:color w:val="000000"/>
          <w:sz w:val="28"/>
          <w:szCs w:val="28"/>
        </w:rPr>
        <w:t xml:space="preserve">механизм </w:t>
      </w:r>
      <w:r w:rsidRPr="00AC1A3C">
        <w:rPr>
          <w:b/>
          <w:bCs/>
          <w:color w:val="000000"/>
          <w:sz w:val="28"/>
          <w:szCs w:val="28"/>
        </w:rPr>
        <w:t>ограничения роста платы граждан за коммунальные услуги</w:t>
      </w:r>
      <w:r w:rsidRPr="000F69AB">
        <w:rPr>
          <w:color w:val="000000"/>
          <w:sz w:val="28"/>
          <w:szCs w:val="28"/>
        </w:rPr>
        <w:t>.</w:t>
      </w:r>
    </w:p>
    <w:p w:rsidR="00080FF9" w:rsidRDefault="00080FF9" w:rsidP="00080FF9">
      <w:pPr>
        <w:ind w:firstLine="720"/>
        <w:jc w:val="both"/>
        <w:rPr>
          <w:color w:val="000000"/>
          <w:sz w:val="28"/>
          <w:szCs w:val="28"/>
        </w:rPr>
      </w:pPr>
      <w:r w:rsidRPr="00FE0C1A">
        <w:rPr>
          <w:kern w:val="2"/>
          <w:sz w:val="28"/>
          <w:szCs w:val="28"/>
          <w:u w:val="single"/>
        </w:rPr>
        <w:t>Распоряжением Губернатора Ростовской области от 28.11.2014 № 325</w:t>
      </w:r>
      <w:r w:rsidRPr="00FE0C1A">
        <w:rPr>
          <w:kern w:val="2"/>
          <w:sz w:val="28"/>
          <w:szCs w:val="28"/>
        </w:rPr>
        <w:t xml:space="preserve"> </w:t>
      </w:r>
      <w:r w:rsidRPr="00FE0C1A">
        <w:rPr>
          <w:color w:val="000000"/>
          <w:sz w:val="28"/>
          <w:szCs w:val="28"/>
        </w:rPr>
        <w:t>утверждены предельные (максимальные) индексы изменения размера вносимой граждана</w:t>
      </w:r>
      <w:r>
        <w:rPr>
          <w:color w:val="000000"/>
          <w:sz w:val="28"/>
          <w:szCs w:val="28"/>
        </w:rPr>
        <w:t xml:space="preserve">ми платы за коммунальные услуги на 2015 год </w:t>
      </w:r>
      <w:r w:rsidRPr="008D6C6E">
        <w:rPr>
          <w:b/>
          <w:i/>
          <w:color w:val="000000"/>
          <w:sz w:val="28"/>
          <w:szCs w:val="28"/>
        </w:rPr>
        <w:t>дифференцированно по муниципальным образованиям</w:t>
      </w:r>
      <w:r>
        <w:rPr>
          <w:color w:val="000000"/>
          <w:sz w:val="28"/>
          <w:szCs w:val="28"/>
        </w:rPr>
        <w:t xml:space="preserve"> Ростовской области на 1 полугодие 2015 года – 0 %, на 2 полугодие 2015 года - не более </w:t>
      </w:r>
      <w:r w:rsidRPr="00FE0C1A">
        <w:rPr>
          <w:color w:val="000000"/>
          <w:sz w:val="28"/>
          <w:szCs w:val="28"/>
        </w:rPr>
        <w:t>10,8 % (с учетом субсидий из областного бюджета).</w:t>
      </w:r>
    </w:p>
    <w:p w:rsidR="008D6C6E" w:rsidRPr="00920396" w:rsidRDefault="00080FF9" w:rsidP="008D6C6E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proofErr w:type="gramStart"/>
      <w:r w:rsidRPr="00D23B70">
        <w:rPr>
          <w:b/>
          <w:kern w:val="2"/>
          <w:sz w:val="28"/>
          <w:szCs w:val="28"/>
          <w:u w:val="single"/>
        </w:rPr>
        <w:t>Это решение</w:t>
      </w:r>
      <w:r>
        <w:rPr>
          <w:kern w:val="2"/>
          <w:sz w:val="28"/>
          <w:szCs w:val="28"/>
          <w:u w:val="single"/>
        </w:rPr>
        <w:t xml:space="preserve"> принято на основании р</w:t>
      </w:r>
      <w:r w:rsidR="008D6C6E" w:rsidRPr="00FE0C1A">
        <w:rPr>
          <w:kern w:val="2"/>
          <w:sz w:val="28"/>
          <w:szCs w:val="28"/>
          <w:u w:val="single"/>
        </w:rPr>
        <w:t>аспоряжени</w:t>
      </w:r>
      <w:r>
        <w:rPr>
          <w:kern w:val="2"/>
          <w:sz w:val="28"/>
          <w:szCs w:val="28"/>
          <w:u w:val="single"/>
        </w:rPr>
        <w:t>я</w:t>
      </w:r>
      <w:r w:rsidR="008D6C6E" w:rsidRPr="00FE0C1A">
        <w:rPr>
          <w:kern w:val="2"/>
          <w:sz w:val="28"/>
          <w:szCs w:val="28"/>
          <w:u w:val="single"/>
        </w:rPr>
        <w:t xml:space="preserve"> Правительства Рос</w:t>
      </w:r>
      <w:r>
        <w:rPr>
          <w:kern w:val="2"/>
          <w:sz w:val="28"/>
          <w:szCs w:val="28"/>
          <w:u w:val="single"/>
        </w:rPr>
        <w:t xml:space="preserve">сийской Федерации от 01.11.2014 </w:t>
      </w:r>
      <w:r w:rsidR="008D6C6E" w:rsidRPr="00FE0C1A">
        <w:rPr>
          <w:kern w:val="2"/>
          <w:sz w:val="28"/>
          <w:szCs w:val="28"/>
          <w:u w:val="single"/>
        </w:rPr>
        <w:t>№ 2222-р</w:t>
      </w:r>
      <w:r>
        <w:rPr>
          <w:sz w:val="28"/>
          <w:szCs w:val="28"/>
        </w:rPr>
        <w:t>,</w:t>
      </w:r>
      <w:r w:rsidR="008D6C6E" w:rsidRPr="00AB6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которым </w:t>
      </w:r>
      <w:r w:rsidR="008D6C6E" w:rsidRPr="00AB69A8">
        <w:rPr>
          <w:sz w:val="28"/>
          <w:szCs w:val="28"/>
        </w:rPr>
        <w:t xml:space="preserve">утверждены индексы изменения вносимой гражданами платы за коммунальные услуги в среднем по субъектам Российской Федерации на </w:t>
      </w:r>
      <w:r w:rsidR="008D6C6E">
        <w:rPr>
          <w:sz w:val="28"/>
          <w:szCs w:val="28"/>
        </w:rPr>
        <w:t>2015</w:t>
      </w:r>
      <w:r w:rsidR="008D6C6E" w:rsidRPr="00AB69A8">
        <w:rPr>
          <w:sz w:val="28"/>
          <w:szCs w:val="28"/>
        </w:rPr>
        <w:t xml:space="preserve"> год, в том числе по Ростовской области утвержден индекс на период с </w:t>
      </w:r>
      <w:r w:rsidR="008D6C6E">
        <w:rPr>
          <w:sz w:val="28"/>
          <w:szCs w:val="28"/>
        </w:rPr>
        <w:t xml:space="preserve">01.01.2015 – 0 %, </w:t>
      </w:r>
      <w:r w:rsidR="0029760B">
        <w:rPr>
          <w:sz w:val="28"/>
          <w:szCs w:val="28"/>
        </w:rPr>
        <w:t xml:space="preserve">с </w:t>
      </w:r>
      <w:r w:rsidR="008D6C6E" w:rsidRPr="00AB69A8">
        <w:rPr>
          <w:sz w:val="28"/>
          <w:szCs w:val="28"/>
        </w:rPr>
        <w:t>01.07.201</w:t>
      </w:r>
      <w:r w:rsidR="008D6C6E">
        <w:rPr>
          <w:sz w:val="28"/>
          <w:szCs w:val="28"/>
        </w:rPr>
        <w:t>5</w:t>
      </w:r>
      <w:r w:rsidR="008D6C6E" w:rsidRPr="00AB69A8">
        <w:rPr>
          <w:sz w:val="28"/>
          <w:szCs w:val="28"/>
        </w:rPr>
        <w:t xml:space="preserve"> по 31.12.201</w:t>
      </w:r>
      <w:r w:rsidR="008D6C6E">
        <w:rPr>
          <w:sz w:val="28"/>
          <w:szCs w:val="28"/>
        </w:rPr>
        <w:t>5</w:t>
      </w:r>
      <w:r w:rsidR="008D6C6E" w:rsidRPr="00AB69A8">
        <w:rPr>
          <w:sz w:val="28"/>
          <w:szCs w:val="28"/>
        </w:rPr>
        <w:t xml:space="preserve"> в размере</w:t>
      </w:r>
      <w:r w:rsidR="008D6C6E" w:rsidRPr="00920396">
        <w:rPr>
          <w:b/>
          <w:bCs/>
          <w:sz w:val="28"/>
          <w:szCs w:val="28"/>
        </w:rPr>
        <w:t xml:space="preserve"> </w:t>
      </w:r>
      <w:r w:rsidR="008D6C6E">
        <w:rPr>
          <w:b/>
          <w:bCs/>
          <w:sz w:val="28"/>
          <w:szCs w:val="28"/>
        </w:rPr>
        <w:t xml:space="preserve">8,6 </w:t>
      </w:r>
      <w:r w:rsidR="008D6C6E" w:rsidRPr="00920396">
        <w:rPr>
          <w:b/>
          <w:bCs/>
          <w:sz w:val="28"/>
          <w:szCs w:val="28"/>
        </w:rPr>
        <w:t xml:space="preserve">% </w:t>
      </w:r>
      <w:r w:rsidR="008D6C6E" w:rsidRPr="00AB69A8">
        <w:rPr>
          <w:sz w:val="28"/>
          <w:szCs w:val="28"/>
        </w:rPr>
        <w:t xml:space="preserve">и предельно допустимые отклонения по отдельным муниципальным образованиям - </w:t>
      </w:r>
      <w:r w:rsidR="008D6C6E" w:rsidRPr="00920396">
        <w:rPr>
          <w:b/>
          <w:bCs/>
          <w:sz w:val="28"/>
          <w:szCs w:val="28"/>
        </w:rPr>
        <w:t xml:space="preserve">2,2%. </w:t>
      </w:r>
      <w:proofErr w:type="gramEnd"/>
    </w:p>
    <w:p w:rsidR="00E35A5C" w:rsidRPr="00137076" w:rsidRDefault="00E35A5C" w:rsidP="00E35A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23B70">
        <w:rPr>
          <w:b/>
          <w:kern w:val="2"/>
          <w:sz w:val="28"/>
          <w:szCs w:val="28"/>
        </w:rPr>
        <w:t>Кроме того,</w:t>
      </w:r>
      <w:r>
        <w:rPr>
          <w:kern w:val="2"/>
          <w:sz w:val="28"/>
          <w:szCs w:val="28"/>
        </w:rPr>
        <w:t xml:space="preserve"> </w:t>
      </w:r>
      <w:r w:rsidRPr="0084229B">
        <w:rPr>
          <w:kern w:val="2"/>
          <w:sz w:val="28"/>
          <w:szCs w:val="28"/>
          <w:u w:val="single"/>
        </w:rPr>
        <w:t xml:space="preserve">постановлением Правительства </w:t>
      </w:r>
      <w:r w:rsidRPr="0084229B">
        <w:rPr>
          <w:sz w:val="28"/>
          <w:szCs w:val="28"/>
          <w:u w:val="single"/>
        </w:rPr>
        <w:t xml:space="preserve">Ростовской области от 22.03.2013 № 165 (в ред. от 29.12.2014 № </w:t>
      </w:r>
      <w:r w:rsidRPr="00C57BFE">
        <w:rPr>
          <w:sz w:val="28"/>
          <w:szCs w:val="28"/>
        </w:rPr>
        <w:t>882</w:t>
      </w:r>
      <w:r w:rsidR="00C57BFE">
        <w:rPr>
          <w:sz w:val="28"/>
          <w:szCs w:val="28"/>
        </w:rPr>
        <w:t xml:space="preserve">  </w:t>
      </w:r>
      <w:r w:rsidRPr="00C57BFE">
        <w:rPr>
          <w:sz w:val="28"/>
          <w:szCs w:val="28"/>
        </w:rPr>
        <w:t>установлено</w:t>
      </w:r>
      <w:r>
        <w:rPr>
          <w:sz w:val="28"/>
          <w:szCs w:val="28"/>
        </w:rPr>
        <w:t>, что</w:t>
      </w:r>
      <w:r w:rsidRPr="00582888">
        <w:rPr>
          <w:sz w:val="28"/>
          <w:szCs w:val="28"/>
        </w:rPr>
        <w:t xml:space="preserve"> во втором полугодии 2015 года размер платы граждан за каждый вид коммунальной услуги, за исключением электроснабжения и газоснабжения, не превышает уровня 110,8 </w:t>
      </w:r>
      <w:r>
        <w:rPr>
          <w:sz w:val="28"/>
          <w:szCs w:val="28"/>
        </w:rPr>
        <w:t xml:space="preserve">% </w:t>
      </w:r>
      <w:r w:rsidRPr="00582888">
        <w:rPr>
          <w:sz w:val="28"/>
          <w:szCs w:val="28"/>
        </w:rPr>
        <w:t>и (или) совокупный размер вносимой гражданами платы за коммунальные услуги не превышает предельного индекса по соответствующему муниципальному образованию.</w:t>
      </w:r>
      <w:proofErr w:type="gramEnd"/>
    </w:p>
    <w:p w:rsidR="00E35A5C" w:rsidRDefault="00E35A5C" w:rsidP="00E35A5C">
      <w:pPr>
        <w:ind w:firstLine="540"/>
        <w:jc w:val="both"/>
        <w:rPr>
          <w:sz w:val="28"/>
          <w:szCs w:val="28"/>
        </w:rPr>
      </w:pPr>
      <w:proofErr w:type="gramStart"/>
      <w:r w:rsidRPr="00D23B70">
        <w:rPr>
          <w:b/>
          <w:sz w:val="28"/>
          <w:szCs w:val="28"/>
        </w:rPr>
        <w:t>В случае</w:t>
      </w:r>
      <w:r>
        <w:rPr>
          <w:sz w:val="28"/>
          <w:szCs w:val="28"/>
        </w:rPr>
        <w:t xml:space="preserve"> превышения установленного предельного индекса</w:t>
      </w:r>
      <w:r w:rsidRPr="00CF116B">
        <w:rPr>
          <w:sz w:val="28"/>
          <w:szCs w:val="28"/>
        </w:rPr>
        <w:t xml:space="preserve"> </w:t>
      </w:r>
      <w:r w:rsidR="00D21704">
        <w:rPr>
          <w:sz w:val="28"/>
          <w:szCs w:val="28"/>
        </w:rPr>
        <w:t xml:space="preserve">орган </w:t>
      </w:r>
      <w:r w:rsidRPr="00582888">
        <w:rPr>
          <w:sz w:val="28"/>
          <w:szCs w:val="28"/>
        </w:rPr>
        <w:t xml:space="preserve">местного самоуправления принимает решение </w:t>
      </w:r>
      <w:r w:rsidR="00D21704">
        <w:rPr>
          <w:sz w:val="28"/>
          <w:szCs w:val="28"/>
        </w:rPr>
        <w:t>либо о</w:t>
      </w:r>
      <w:r w:rsidRPr="000F27E2">
        <w:rPr>
          <w:sz w:val="28"/>
          <w:szCs w:val="28"/>
        </w:rPr>
        <w:t xml:space="preserve"> снижени</w:t>
      </w:r>
      <w:r w:rsidR="00D21704">
        <w:rPr>
          <w:sz w:val="28"/>
          <w:szCs w:val="28"/>
        </w:rPr>
        <w:t>и</w:t>
      </w:r>
      <w:r w:rsidRPr="000F27E2">
        <w:rPr>
          <w:sz w:val="28"/>
          <w:szCs w:val="28"/>
        </w:rPr>
        <w:t xml:space="preserve"> уровня платежей </w:t>
      </w:r>
      <w:r w:rsidR="00D21704">
        <w:rPr>
          <w:sz w:val="28"/>
          <w:szCs w:val="28"/>
        </w:rPr>
        <w:t>граждан за одну или несколько коммунальных услуг</w:t>
      </w:r>
      <w:r w:rsidR="0029760B">
        <w:rPr>
          <w:sz w:val="28"/>
          <w:szCs w:val="28"/>
        </w:rPr>
        <w:t xml:space="preserve"> (кроме электроснабжения и газоснабжения) - </w:t>
      </w:r>
      <w:r w:rsidR="00D21704">
        <w:rPr>
          <w:sz w:val="28"/>
          <w:szCs w:val="28"/>
        </w:rPr>
        <w:t xml:space="preserve">в этом случае </w:t>
      </w:r>
      <w:r w:rsidRPr="000F27E2">
        <w:rPr>
          <w:sz w:val="28"/>
          <w:szCs w:val="28"/>
        </w:rPr>
        <w:t xml:space="preserve">население оплачивает не 100% стоимости услуги, а меньше, либо </w:t>
      </w:r>
      <w:r w:rsidR="00D21704">
        <w:rPr>
          <w:sz w:val="28"/>
          <w:szCs w:val="28"/>
        </w:rPr>
        <w:t xml:space="preserve">о </w:t>
      </w:r>
      <w:r w:rsidRPr="000F27E2">
        <w:rPr>
          <w:sz w:val="28"/>
          <w:szCs w:val="28"/>
        </w:rPr>
        <w:t>снижени</w:t>
      </w:r>
      <w:r w:rsidR="00D21704">
        <w:rPr>
          <w:sz w:val="28"/>
          <w:szCs w:val="28"/>
        </w:rPr>
        <w:t>и</w:t>
      </w:r>
      <w:r w:rsidRPr="000F27E2">
        <w:rPr>
          <w:sz w:val="28"/>
          <w:szCs w:val="28"/>
        </w:rPr>
        <w:t xml:space="preserve"> норматива потребления коммунальной услуги по отоплению </w:t>
      </w:r>
      <w:r w:rsidR="00D21704">
        <w:rPr>
          <w:sz w:val="28"/>
          <w:szCs w:val="28"/>
        </w:rPr>
        <w:t>(применяется</w:t>
      </w:r>
      <w:r w:rsidRPr="000F27E2">
        <w:rPr>
          <w:sz w:val="28"/>
          <w:szCs w:val="28"/>
        </w:rPr>
        <w:t xml:space="preserve"> понижающ</w:t>
      </w:r>
      <w:r w:rsidR="00D21704">
        <w:rPr>
          <w:sz w:val="28"/>
          <w:szCs w:val="28"/>
        </w:rPr>
        <w:t xml:space="preserve">ий </w:t>
      </w:r>
      <w:r w:rsidRPr="000F27E2">
        <w:rPr>
          <w:sz w:val="28"/>
          <w:szCs w:val="28"/>
        </w:rPr>
        <w:t>коэффициент</w:t>
      </w:r>
      <w:r w:rsidR="00D21704">
        <w:rPr>
          <w:sz w:val="28"/>
          <w:szCs w:val="28"/>
        </w:rPr>
        <w:t xml:space="preserve"> к установленному нормативу)</w:t>
      </w:r>
      <w:r w:rsidRPr="000F27E2">
        <w:rPr>
          <w:sz w:val="28"/>
          <w:szCs w:val="28"/>
        </w:rPr>
        <w:t>.</w:t>
      </w:r>
      <w:proofErr w:type="gramEnd"/>
      <w:r w:rsidRPr="000F27E2">
        <w:rPr>
          <w:sz w:val="28"/>
          <w:szCs w:val="28"/>
        </w:rPr>
        <w:t xml:space="preserve"> При этом </w:t>
      </w:r>
      <w:r>
        <w:rPr>
          <w:sz w:val="28"/>
          <w:szCs w:val="28"/>
        </w:rPr>
        <w:t xml:space="preserve">предусматривается </w:t>
      </w:r>
      <w:r w:rsidRPr="000F27E2">
        <w:rPr>
          <w:sz w:val="28"/>
          <w:szCs w:val="28"/>
        </w:rPr>
        <w:t xml:space="preserve">возмещение предприятиям </w:t>
      </w:r>
      <w:r w:rsidR="00D21704">
        <w:rPr>
          <w:sz w:val="28"/>
          <w:szCs w:val="28"/>
        </w:rPr>
        <w:t xml:space="preserve">ЖКХ </w:t>
      </w:r>
      <w:r w:rsidRPr="000F27E2">
        <w:rPr>
          <w:sz w:val="28"/>
          <w:szCs w:val="28"/>
        </w:rPr>
        <w:t>части платы граждан за коммунальные услуги в объеме свыше индексов роста</w:t>
      </w:r>
      <w:r>
        <w:rPr>
          <w:sz w:val="28"/>
          <w:szCs w:val="28"/>
        </w:rPr>
        <w:t xml:space="preserve"> </w:t>
      </w:r>
      <w:r w:rsidRPr="000F27E2">
        <w:rPr>
          <w:sz w:val="28"/>
          <w:szCs w:val="28"/>
        </w:rPr>
        <w:t xml:space="preserve">за  счет средств областного </w:t>
      </w:r>
      <w:r>
        <w:rPr>
          <w:sz w:val="28"/>
          <w:szCs w:val="28"/>
        </w:rPr>
        <w:t>и местного бюджетов.</w:t>
      </w:r>
    </w:p>
    <w:p w:rsidR="008D6C6E" w:rsidRDefault="008D6C6E" w:rsidP="008D6C6E">
      <w:pPr>
        <w:ind w:firstLine="720"/>
        <w:jc w:val="both"/>
        <w:rPr>
          <w:color w:val="000000"/>
          <w:sz w:val="28"/>
          <w:szCs w:val="28"/>
        </w:rPr>
      </w:pPr>
      <w:r w:rsidRPr="00D23B70">
        <w:rPr>
          <w:b/>
          <w:color w:val="000000"/>
          <w:sz w:val="28"/>
          <w:szCs w:val="28"/>
        </w:rPr>
        <w:t>Таким образом,</w:t>
      </w:r>
      <w:r>
        <w:rPr>
          <w:color w:val="000000"/>
          <w:sz w:val="28"/>
          <w:szCs w:val="28"/>
        </w:rPr>
        <w:t xml:space="preserve"> вне зависимости от изменения стоимости какой-либо отдельной услуги, </w:t>
      </w:r>
      <w:r w:rsidRPr="00D21704">
        <w:rPr>
          <w:b/>
          <w:color w:val="000000"/>
          <w:sz w:val="28"/>
          <w:szCs w:val="28"/>
        </w:rPr>
        <w:t>гражданин защищен</w:t>
      </w:r>
      <w:r>
        <w:rPr>
          <w:color w:val="000000"/>
          <w:sz w:val="28"/>
          <w:szCs w:val="28"/>
        </w:rPr>
        <w:t xml:space="preserve"> установленным Губернатором Ростовской области предельным индексом роста совокупной платы за коммунальные услуги по каждому городу и муниципальному образованию.</w:t>
      </w:r>
    </w:p>
    <w:p w:rsidR="008D6C6E" w:rsidRPr="008D6C6E" w:rsidRDefault="008D6C6E" w:rsidP="008D6C6E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8D6C6E">
        <w:rPr>
          <w:kern w:val="2"/>
          <w:sz w:val="28"/>
          <w:szCs w:val="28"/>
        </w:rPr>
        <w:t>В первом полугодии 2015 года повышения размера платы граждан за коммунальные услуги</w:t>
      </w:r>
      <w:r w:rsidR="00837191">
        <w:rPr>
          <w:kern w:val="2"/>
          <w:sz w:val="28"/>
          <w:szCs w:val="28"/>
        </w:rPr>
        <w:t xml:space="preserve"> не было</w:t>
      </w:r>
      <w:r w:rsidRPr="008D6C6E">
        <w:rPr>
          <w:kern w:val="2"/>
          <w:sz w:val="28"/>
          <w:szCs w:val="28"/>
        </w:rPr>
        <w:t xml:space="preserve">. Тарифы для населения были </w:t>
      </w:r>
      <w:r w:rsidR="0029760B">
        <w:rPr>
          <w:kern w:val="2"/>
          <w:sz w:val="28"/>
          <w:szCs w:val="28"/>
        </w:rPr>
        <w:t>сохранены</w:t>
      </w:r>
      <w:r w:rsidRPr="008D6C6E">
        <w:rPr>
          <w:kern w:val="2"/>
          <w:sz w:val="28"/>
          <w:szCs w:val="28"/>
        </w:rPr>
        <w:t xml:space="preserve"> на уровне декабря 2014 года.</w:t>
      </w:r>
    </w:p>
    <w:p w:rsidR="008D6C6E" w:rsidRDefault="00837191" w:rsidP="008D6C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 1 июля 2015 года рост стоимости коммунальных услуг  </w:t>
      </w:r>
      <w:r w:rsidR="0029760B">
        <w:rPr>
          <w:color w:val="000000"/>
          <w:sz w:val="28"/>
          <w:szCs w:val="28"/>
        </w:rPr>
        <w:t xml:space="preserve">по сравнению с декабрем 2014 года </w:t>
      </w:r>
      <w:proofErr w:type="gramStart"/>
      <w:r>
        <w:rPr>
          <w:color w:val="000000"/>
          <w:sz w:val="28"/>
          <w:szCs w:val="28"/>
        </w:rPr>
        <w:t>при том</w:t>
      </w:r>
      <w:proofErr w:type="gramEnd"/>
      <w:r>
        <w:rPr>
          <w:color w:val="000000"/>
          <w:sz w:val="28"/>
          <w:szCs w:val="28"/>
        </w:rPr>
        <w:t xml:space="preserve"> же объеме их потребления в платежках не должен быть выше установленного предельного индекса.</w:t>
      </w:r>
    </w:p>
    <w:p w:rsidR="00837191" w:rsidRPr="00E350AA" w:rsidRDefault="00837191" w:rsidP="008D6C6E">
      <w:pPr>
        <w:ind w:firstLine="720"/>
        <w:jc w:val="both"/>
        <w:rPr>
          <w:b/>
          <w:color w:val="000000"/>
          <w:sz w:val="28"/>
          <w:szCs w:val="28"/>
        </w:rPr>
      </w:pPr>
      <w:r w:rsidRPr="00E350AA">
        <w:rPr>
          <w:b/>
          <w:color w:val="000000"/>
          <w:sz w:val="28"/>
          <w:szCs w:val="28"/>
        </w:rPr>
        <w:t>Чтобы определить рост стоимости коммунальных услуг, нужно сложить стоимость коммунальных услуг из платежки (вода, газ, тепло, электричество) отдельно за декабрь 2014 г. и за июль 2015 года, поделить получившуюся сумму за июль на аналогичную сумму за декабрь и умножить на 100. Затем нужно сравнить полученный индекс с установленным предельным индексом по муниципальному образованию.</w:t>
      </w:r>
    </w:p>
    <w:p w:rsidR="0029760B" w:rsidRDefault="0029760B" w:rsidP="008D6C6E">
      <w:pPr>
        <w:ind w:firstLine="720"/>
        <w:jc w:val="both"/>
        <w:rPr>
          <w:color w:val="000000"/>
          <w:sz w:val="28"/>
          <w:szCs w:val="28"/>
        </w:rPr>
      </w:pPr>
    </w:p>
    <w:p w:rsidR="00B54349" w:rsidRPr="003203C1" w:rsidRDefault="00B54349" w:rsidP="008D6C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РСТ Ростовской области по у</w:t>
      </w:r>
      <w:r w:rsidR="00E35A5C">
        <w:rPr>
          <w:color w:val="000000"/>
          <w:sz w:val="28"/>
          <w:szCs w:val="28"/>
        </w:rPr>
        <w:t xml:space="preserve">становлению </w:t>
      </w:r>
      <w:r>
        <w:rPr>
          <w:color w:val="000000"/>
          <w:sz w:val="28"/>
          <w:szCs w:val="28"/>
        </w:rPr>
        <w:t xml:space="preserve">тарифов на коммунальные ресурсы (электрическую энергию, холодную и горячую воду, водоотведение, газ, тепловую энергию) опубликованы в разделе «ТАРИФЫ» </w:t>
      </w:r>
      <w:r w:rsidRPr="00B54349">
        <w:rPr>
          <w:b/>
          <w:i/>
          <w:color w:val="000000"/>
          <w:sz w:val="28"/>
          <w:szCs w:val="28"/>
        </w:rPr>
        <w:t>(</w:t>
      </w:r>
      <w:proofErr w:type="spellStart"/>
      <w:r w:rsidR="003203C1">
        <w:rPr>
          <w:b/>
          <w:i/>
          <w:color w:val="000000"/>
          <w:sz w:val="28"/>
          <w:szCs w:val="28"/>
          <w:lang w:val="en-US"/>
        </w:rPr>
        <w:t>rst</w:t>
      </w:r>
      <w:proofErr w:type="spellEnd"/>
      <w:r w:rsidR="003203C1" w:rsidRPr="003203C1">
        <w:rPr>
          <w:b/>
          <w:i/>
          <w:color w:val="000000"/>
          <w:sz w:val="28"/>
          <w:szCs w:val="28"/>
        </w:rPr>
        <w:t>.</w:t>
      </w:r>
      <w:proofErr w:type="spellStart"/>
      <w:r w:rsidR="003203C1">
        <w:rPr>
          <w:b/>
          <w:i/>
          <w:color w:val="000000"/>
          <w:sz w:val="28"/>
          <w:szCs w:val="28"/>
          <w:lang w:val="en-US"/>
        </w:rPr>
        <w:t>donland</w:t>
      </w:r>
      <w:proofErr w:type="spellEnd"/>
      <w:r w:rsidR="003203C1" w:rsidRPr="003203C1">
        <w:rPr>
          <w:b/>
          <w:i/>
          <w:color w:val="000000"/>
          <w:sz w:val="28"/>
          <w:szCs w:val="28"/>
        </w:rPr>
        <w:t>.</w:t>
      </w:r>
      <w:proofErr w:type="spellStart"/>
      <w:r w:rsidR="003203C1">
        <w:rPr>
          <w:b/>
          <w:i/>
          <w:color w:val="000000"/>
          <w:sz w:val="28"/>
          <w:szCs w:val="28"/>
          <w:lang w:val="en-US"/>
        </w:rPr>
        <w:t>ru</w:t>
      </w:r>
      <w:proofErr w:type="spellEnd"/>
      <w:r w:rsidRPr="00B54349">
        <w:rPr>
          <w:b/>
          <w:i/>
          <w:color w:val="000000"/>
          <w:sz w:val="28"/>
          <w:szCs w:val="28"/>
        </w:rPr>
        <w:t>)</w:t>
      </w:r>
      <w:r>
        <w:rPr>
          <w:b/>
          <w:i/>
          <w:color w:val="000000"/>
          <w:sz w:val="28"/>
          <w:szCs w:val="28"/>
        </w:rPr>
        <w:t xml:space="preserve"> </w:t>
      </w:r>
      <w:r w:rsidRPr="00B54349">
        <w:rPr>
          <w:color w:val="000000"/>
          <w:sz w:val="28"/>
          <w:szCs w:val="28"/>
        </w:rPr>
        <w:t>на сайте РСТ.</w:t>
      </w:r>
      <w:r w:rsidR="003203C1" w:rsidRPr="003203C1">
        <w:rPr>
          <w:color w:val="000000"/>
          <w:sz w:val="28"/>
          <w:szCs w:val="28"/>
        </w:rPr>
        <w:t xml:space="preserve"> </w:t>
      </w:r>
      <w:r w:rsidR="003203C1">
        <w:rPr>
          <w:color w:val="000000"/>
          <w:sz w:val="28"/>
          <w:szCs w:val="28"/>
        </w:rPr>
        <w:t>Дополнительно тарифы по ООО «</w:t>
      </w:r>
      <w:proofErr w:type="spellStart"/>
      <w:r w:rsidR="003203C1">
        <w:rPr>
          <w:color w:val="000000"/>
          <w:sz w:val="28"/>
          <w:szCs w:val="28"/>
        </w:rPr>
        <w:t>Донреко</w:t>
      </w:r>
      <w:proofErr w:type="spellEnd"/>
      <w:r w:rsidR="003203C1">
        <w:rPr>
          <w:color w:val="000000"/>
          <w:sz w:val="28"/>
          <w:szCs w:val="28"/>
        </w:rPr>
        <w:t xml:space="preserve">» опубликованы на сайте компании </w:t>
      </w:r>
      <w:r w:rsidR="003203C1" w:rsidRPr="003203C1">
        <w:rPr>
          <w:color w:val="000000"/>
          <w:sz w:val="28"/>
          <w:szCs w:val="28"/>
        </w:rPr>
        <w:t>(</w:t>
      </w:r>
      <w:proofErr w:type="spellStart"/>
      <w:r w:rsidR="003203C1" w:rsidRPr="003203C1">
        <w:rPr>
          <w:b/>
          <w:i/>
          <w:color w:val="000000"/>
          <w:sz w:val="28"/>
          <w:szCs w:val="28"/>
          <w:lang w:val="en-US"/>
        </w:rPr>
        <w:t>donreco</w:t>
      </w:r>
      <w:proofErr w:type="spellEnd"/>
      <w:r w:rsidR="003203C1" w:rsidRPr="003203C1">
        <w:rPr>
          <w:b/>
          <w:i/>
          <w:color w:val="000000"/>
          <w:sz w:val="28"/>
          <w:szCs w:val="28"/>
        </w:rPr>
        <w:t>.</w:t>
      </w:r>
      <w:proofErr w:type="spellStart"/>
      <w:r w:rsidR="003203C1" w:rsidRPr="003203C1">
        <w:rPr>
          <w:b/>
          <w:i/>
          <w:color w:val="000000"/>
          <w:sz w:val="28"/>
          <w:szCs w:val="28"/>
          <w:lang w:val="en-US"/>
        </w:rPr>
        <w:t>ru</w:t>
      </w:r>
      <w:proofErr w:type="spellEnd"/>
      <w:r w:rsidR="003203C1" w:rsidRPr="003203C1">
        <w:rPr>
          <w:color w:val="000000"/>
          <w:sz w:val="28"/>
          <w:szCs w:val="28"/>
        </w:rPr>
        <w:t>)</w:t>
      </w:r>
    </w:p>
    <w:p w:rsidR="008D6C6E" w:rsidRDefault="00E35A5C" w:rsidP="008D6C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тарифы установлены в рамках предельных уровней, устанавливаемых Федеральной службой по тарифам в соответствии с параметрами, одобренными Правительством РФ в прогнозе социально-экономического развития страны.</w:t>
      </w:r>
    </w:p>
    <w:p w:rsidR="00523B94" w:rsidRPr="00523B94" w:rsidRDefault="00523B94" w:rsidP="00523B9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23B94">
        <w:rPr>
          <w:rFonts w:eastAsia="Calibri"/>
          <w:b/>
          <w:sz w:val="28"/>
          <w:szCs w:val="28"/>
          <w:lang w:eastAsia="en-US"/>
        </w:rPr>
        <w:t>Тарифы 2015 года</w:t>
      </w:r>
    </w:p>
    <w:tbl>
      <w:tblPr>
        <w:tblW w:w="97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171"/>
        <w:gridCol w:w="1914"/>
        <w:gridCol w:w="1914"/>
        <w:gridCol w:w="1915"/>
      </w:tblGrid>
      <w:tr w:rsidR="00523B94" w:rsidRPr="00B15403" w:rsidTr="00B15403">
        <w:tc>
          <w:tcPr>
            <w:tcW w:w="2802" w:type="dxa"/>
            <w:shd w:val="clear" w:color="auto" w:fill="auto"/>
          </w:tcPr>
          <w:p w:rsidR="00523B94" w:rsidRPr="00B15403" w:rsidRDefault="00523B94" w:rsidP="00B15403">
            <w:pPr>
              <w:ind w:right="-392"/>
              <w:jc w:val="both"/>
              <w:rPr>
                <w:rFonts w:eastAsia="Calibri"/>
                <w:lang w:eastAsia="en-US"/>
              </w:rPr>
            </w:pPr>
            <w:r w:rsidRPr="00B15403">
              <w:rPr>
                <w:rFonts w:eastAsia="Calibri"/>
                <w:lang w:eastAsia="en-US"/>
              </w:rPr>
              <w:t>Наименование услуги</w:t>
            </w:r>
          </w:p>
        </w:tc>
        <w:tc>
          <w:tcPr>
            <w:tcW w:w="1171" w:type="dxa"/>
            <w:shd w:val="clear" w:color="auto" w:fill="auto"/>
          </w:tcPr>
          <w:p w:rsidR="00523B94" w:rsidRPr="00B15403" w:rsidRDefault="00523B94" w:rsidP="00B15403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B15403">
              <w:rPr>
                <w:rFonts w:eastAsia="Calibri"/>
                <w:lang w:eastAsia="en-US"/>
              </w:rPr>
              <w:t>Ед</w:t>
            </w:r>
            <w:proofErr w:type="gramStart"/>
            <w:r w:rsidRPr="00B15403">
              <w:rPr>
                <w:rFonts w:eastAsia="Calibri"/>
                <w:lang w:eastAsia="en-US"/>
              </w:rPr>
              <w:t>.и</w:t>
            </w:r>
            <w:proofErr w:type="gramEnd"/>
            <w:r w:rsidRPr="00B15403">
              <w:rPr>
                <w:rFonts w:eastAsia="Calibri"/>
                <w:lang w:eastAsia="en-US"/>
              </w:rPr>
              <w:t>зм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23B94" w:rsidRPr="00B15403" w:rsidRDefault="00523B94" w:rsidP="00B15403">
            <w:pPr>
              <w:jc w:val="both"/>
              <w:rPr>
                <w:rFonts w:eastAsia="Calibri"/>
                <w:b/>
                <w:lang w:eastAsia="en-US"/>
              </w:rPr>
            </w:pPr>
            <w:r w:rsidRPr="00B15403">
              <w:rPr>
                <w:rFonts w:eastAsia="Calibri"/>
                <w:b/>
                <w:lang w:eastAsia="en-US"/>
              </w:rPr>
              <w:t>1-е полугодие 2015 года</w:t>
            </w:r>
          </w:p>
        </w:tc>
        <w:tc>
          <w:tcPr>
            <w:tcW w:w="1914" w:type="dxa"/>
            <w:shd w:val="clear" w:color="auto" w:fill="auto"/>
          </w:tcPr>
          <w:p w:rsidR="00523B94" w:rsidRPr="00B15403" w:rsidRDefault="00523B94" w:rsidP="00B15403">
            <w:pPr>
              <w:jc w:val="both"/>
              <w:rPr>
                <w:rFonts w:eastAsia="Calibri"/>
                <w:b/>
                <w:lang w:eastAsia="en-US"/>
              </w:rPr>
            </w:pPr>
            <w:r w:rsidRPr="00B15403">
              <w:rPr>
                <w:rFonts w:eastAsia="Calibri"/>
                <w:b/>
                <w:lang w:eastAsia="en-US"/>
              </w:rPr>
              <w:t>2-е полугодие 2015 года</w:t>
            </w:r>
          </w:p>
        </w:tc>
        <w:tc>
          <w:tcPr>
            <w:tcW w:w="1915" w:type="dxa"/>
            <w:shd w:val="clear" w:color="auto" w:fill="auto"/>
          </w:tcPr>
          <w:p w:rsidR="00523B94" w:rsidRPr="00B15403" w:rsidRDefault="00523B94" w:rsidP="00B15403">
            <w:pPr>
              <w:jc w:val="both"/>
              <w:rPr>
                <w:rFonts w:eastAsia="Calibri"/>
                <w:b/>
                <w:lang w:eastAsia="en-US"/>
              </w:rPr>
            </w:pPr>
            <w:r w:rsidRPr="00B15403">
              <w:rPr>
                <w:rFonts w:eastAsia="Calibri"/>
                <w:b/>
                <w:lang w:eastAsia="en-US"/>
              </w:rPr>
              <w:t xml:space="preserve">Рост </w:t>
            </w:r>
            <w:proofErr w:type="gramStart"/>
            <w:r w:rsidRPr="00B15403">
              <w:rPr>
                <w:rFonts w:eastAsia="Calibri"/>
                <w:b/>
                <w:lang w:eastAsia="en-US"/>
              </w:rPr>
              <w:t>в</w:t>
            </w:r>
            <w:proofErr w:type="gramEnd"/>
            <w:r w:rsidRPr="00B15403">
              <w:rPr>
                <w:rFonts w:eastAsia="Calibri"/>
                <w:b/>
                <w:lang w:eastAsia="en-US"/>
              </w:rPr>
              <w:t xml:space="preserve"> %</w:t>
            </w:r>
          </w:p>
        </w:tc>
      </w:tr>
      <w:tr w:rsidR="00523B94" w:rsidRPr="00B15403" w:rsidTr="00B15403">
        <w:tc>
          <w:tcPr>
            <w:tcW w:w="9716" w:type="dxa"/>
            <w:gridSpan w:val="5"/>
            <w:shd w:val="clear" w:color="auto" w:fill="auto"/>
          </w:tcPr>
          <w:p w:rsidR="00523B94" w:rsidRPr="00D23B70" w:rsidRDefault="00523B94" w:rsidP="00D23B7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3B70">
              <w:rPr>
                <w:rFonts w:eastAsia="Calibri"/>
                <w:b/>
                <w:sz w:val="28"/>
                <w:szCs w:val="28"/>
                <w:lang w:eastAsia="en-US"/>
              </w:rPr>
              <w:t>ООО «Д</w:t>
            </w:r>
            <w:r w:rsidR="00D23B70" w:rsidRPr="00D23B70">
              <w:rPr>
                <w:rFonts w:eastAsia="Calibri"/>
                <w:b/>
                <w:sz w:val="28"/>
                <w:szCs w:val="28"/>
                <w:lang w:eastAsia="en-US"/>
              </w:rPr>
              <w:t>ОНРЕКО</w:t>
            </w:r>
            <w:r w:rsidRPr="00D23B70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523B94" w:rsidRPr="00B15403" w:rsidTr="00B15403">
        <w:tc>
          <w:tcPr>
            <w:tcW w:w="2802" w:type="dxa"/>
            <w:shd w:val="clear" w:color="auto" w:fill="auto"/>
          </w:tcPr>
          <w:p w:rsidR="00523B94" w:rsidRPr="00B15403" w:rsidRDefault="00523B94" w:rsidP="00523B94">
            <w:pPr>
              <w:rPr>
                <w:rFonts w:eastAsia="Calibri"/>
                <w:lang w:eastAsia="en-US"/>
              </w:rPr>
            </w:pPr>
            <w:r w:rsidRPr="00B15403">
              <w:rPr>
                <w:rFonts w:eastAsia="Calibri"/>
                <w:lang w:eastAsia="en-US"/>
              </w:rPr>
              <w:t xml:space="preserve">Водоснабжение питьевой водой </w:t>
            </w:r>
            <w:proofErr w:type="spellStart"/>
            <w:r w:rsidRPr="00B15403">
              <w:rPr>
                <w:rFonts w:eastAsia="Calibri"/>
                <w:lang w:eastAsia="en-US"/>
              </w:rPr>
              <w:t>Гуковского</w:t>
            </w:r>
            <w:proofErr w:type="spellEnd"/>
            <w:r w:rsidRPr="00B15403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B15403">
              <w:rPr>
                <w:rFonts w:eastAsia="Calibri"/>
                <w:lang w:eastAsia="en-US"/>
              </w:rPr>
              <w:t>Зверевского</w:t>
            </w:r>
            <w:proofErr w:type="spellEnd"/>
            <w:r w:rsidRPr="00B15403">
              <w:rPr>
                <w:rFonts w:eastAsia="Calibri"/>
                <w:lang w:eastAsia="en-US"/>
              </w:rPr>
              <w:t xml:space="preserve"> производственных отделений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15403">
              <w:rPr>
                <w:rFonts w:eastAsia="Calibri"/>
                <w:lang w:eastAsia="en-US"/>
              </w:rPr>
              <w:t>Руб</w:t>
            </w:r>
            <w:proofErr w:type="spellEnd"/>
            <w:r w:rsidRPr="00B15403">
              <w:rPr>
                <w:rFonts w:eastAsia="Calibri"/>
                <w:lang w:eastAsia="en-US"/>
              </w:rPr>
              <w:t>/м3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5403">
              <w:rPr>
                <w:rFonts w:eastAsia="Calibri"/>
                <w:b/>
                <w:sz w:val="28"/>
                <w:szCs w:val="28"/>
                <w:lang w:eastAsia="en-US"/>
              </w:rPr>
              <w:t>82,56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5403">
              <w:rPr>
                <w:rFonts w:eastAsia="Calibri"/>
                <w:b/>
                <w:sz w:val="28"/>
                <w:szCs w:val="28"/>
                <w:lang w:eastAsia="en-US"/>
              </w:rPr>
              <w:t>82,56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5403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23B94" w:rsidRPr="00B15403" w:rsidTr="00B15403">
        <w:tc>
          <w:tcPr>
            <w:tcW w:w="2802" w:type="dxa"/>
            <w:shd w:val="clear" w:color="auto" w:fill="auto"/>
          </w:tcPr>
          <w:p w:rsidR="00523B94" w:rsidRPr="00B15403" w:rsidRDefault="00523B94" w:rsidP="00523B94">
            <w:pPr>
              <w:rPr>
                <w:rFonts w:eastAsia="Calibri"/>
                <w:lang w:eastAsia="en-US"/>
              </w:rPr>
            </w:pPr>
            <w:r w:rsidRPr="00B15403">
              <w:rPr>
                <w:rFonts w:eastAsia="Calibri"/>
                <w:lang w:eastAsia="en-US"/>
              </w:rPr>
              <w:t xml:space="preserve">Водоотведение </w:t>
            </w:r>
            <w:proofErr w:type="spellStart"/>
            <w:r w:rsidRPr="00B15403">
              <w:rPr>
                <w:rFonts w:eastAsia="Calibri"/>
                <w:lang w:eastAsia="en-US"/>
              </w:rPr>
              <w:t>Гуковского</w:t>
            </w:r>
            <w:proofErr w:type="spellEnd"/>
            <w:r w:rsidRPr="00B15403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B15403">
              <w:rPr>
                <w:rFonts w:eastAsia="Calibri"/>
                <w:lang w:eastAsia="en-US"/>
              </w:rPr>
              <w:t>Зверевского</w:t>
            </w:r>
            <w:proofErr w:type="spellEnd"/>
            <w:r w:rsidRPr="00B15403">
              <w:rPr>
                <w:rFonts w:eastAsia="Calibri"/>
                <w:lang w:eastAsia="en-US"/>
              </w:rPr>
              <w:t xml:space="preserve"> производственных отделений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15403">
              <w:rPr>
                <w:rFonts w:eastAsia="Calibri"/>
                <w:lang w:eastAsia="en-US"/>
              </w:rPr>
              <w:t>Руб</w:t>
            </w:r>
            <w:proofErr w:type="spellEnd"/>
            <w:r w:rsidRPr="00B15403">
              <w:rPr>
                <w:rFonts w:eastAsia="Calibri"/>
                <w:lang w:eastAsia="en-US"/>
              </w:rPr>
              <w:t>/м3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5403">
              <w:rPr>
                <w:rFonts w:eastAsia="Calibri"/>
                <w:b/>
                <w:sz w:val="28"/>
                <w:szCs w:val="28"/>
                <w:lang w:eastAsia="en-US"/>
              </w:rPr>
              <w:t>30,82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5403">
              <w:rPr>
                <w:rFonts w:eastAsia="Calibri"/>
                <w:b/>
                <w:sz w:val="28"/>
                <w:szCs w:val="28"/>
                <w:lang w:eastAsia="en-US"/>
              </w:rPr>
              <w:t>30,82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5403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23B94" w:rsidRPr="00B15403" w:rsidTr="00B15403">
        <w:trPr>
          <w:trHeight w:val="70"/>
        </w:trPr>
        <w:tc>
          <w:tcPr>
            <w:tcW w:w="9716" w:type="dxa"/>
            <w:gridSpan w:val="5"/>
            <w:shd w:val="clear" w:color="auto" w:fill="auto"/>
          </w:tcPr>
          <w:p w:rsidR="00523B94" w:rsidRPr="00D23B70" w:rsidRDefault="00523B94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3B70">
              <w:rPr>
                <w:rFonts w:eastAsia="Calibri"/>
                <w:b/>
                <w:sz w:val="28"/>
                <w:szCs w:val="28"/>
                <w:lang w:eastAsia="en-US"/>
              </w:rPr>
              <w:t>Электроснабжение сельского населения</w:t>
            </w:r>
          </w:p>
        </w:tc>
      </w:tr>
      <w:tr w:rsidR="00523B94" w:rsidRPr="00B15403" w:rsidTr="00B15403">
        <w:trPr>
          <w:trHeight w:val="70"/>
        </w:trPr>
        <w:tc>
          <w:tcPr>
            <w:tcW w:w="2802" w:type="dxa"/>
            <w:shd w:val="clear" w:color="auto" w:fill="auto"/>
          </w:tcPr>
          <w:p w:rsidR="00523B94" w:rsidRPr="00B15403" w:rsidRDefault="00523B94" w:rsidP="00B15403">
            <w:pPr>
              <w:jc w:val="both"/>
              <w:rPr>
                <w:rFonts w:eastAsia="Calibri"/>
                <w:lang w:eastAsia="en-US"/>
              </w:rPr>
            </w:pPr>
            <w:r w:rsidRPr="00B15403">
              <w:rPr>
                <w:rFonts w:eastAsia="Calibri"/>
                <w:lang w:eastAsia="en-US"/>
              </w:rPr>
              <w:t xml:space="preserve">В пределах </w:t>
            </w:r>
            <w:proofErr w:type="spellStart"/>
            <w:r w:rsidRPr="00B15403">
              <w:rPr>
                <w:rFonts w:eastAsia="Calibri"/>
                <w:lang w:eastAsia="en-US"/>
              </w:rPr>
              <w:t>соцнормы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23B94" w:rsidRPr="00B15403" w:rsidRDefault="00523B94" w:rsidP="00523B94">
            <w:pPr>
              <w:rPr>
                <w:rFonts w:eastAsia="Calibri"/>
                <w:lang w:eastAsia="en-US"/>
              </w:rPr>
            </w:pPr>
            <w:proofErr w:type="spellStart"/>
            <w:r w:rsidRPr="00B15403">
              <w:rPr>
                <w:rFonts w:eastAsia="Calibri"/>
                <w:lang w:eastAsia="en-US"/>
              </w:rPr>
              <w:t>Руб</w:t>
            </w:r>
            <w:proofErr w:type="spellEnd"/>
            <w:r w:rsidRPr="00B15403">
              <w:rPr>
                <w:rFonts w:eastAsia="Calibri"/>
                <w:lang w:eastAsia="en-US"/>
              </w:rPr>
              <w:t>/кВтч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lang w:eastAsia="en-US"/>
              </w:rPr>
            </w:pPr>
            <w:r w:rsidRPr="00B15403">
              <w:rPr>
                <w:rFonts w:eastAsia="Calibri"/>
                <w:b/>
                <w:lang w:eastAsia="en-US"/>
              </w:rPr>
              <w:t>2,45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lang w:eastAsia="en-US"/>
              </w:rPr>
            </w:pPr>
            <w:r w:rsidRPr="00B15403">
              <w:rPr>
                <w:rFonts w:eastAsia="Calibri"/>
                <w:b/>
                <w:lang w:eastAsia="en-US"/>
              </w:rPr>
              <w:t>2,45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lang w:eastAsia="en-US"/>
              </w:rPr>
            </w:pPr>
            <w:r w:rsidRPr="00B15403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523B94" w:rsidRPr="00B15403" w:rsidTr="00B15403">
        <w:trPr>
          <w:trHeight w:val="70"/>
        </w:trPr>
        <w:tc>
          <w:tcPr>
            <w:tcW w:w="2802" w:type="dxa"/>
            <w:shd w:val="clear" w:color="auto" w:fill="auto"/>
          </w:tcPr>
          <w:p w:rsidR="00523B94" w:rsidRPr="00B15403" w:rsidRDefault="00523B94" w:rsidP="00B15403">
            <w:pPr>
              <w:jc w:val="both"/>
              <w:rPr>
                <w:rFonts w:eastAsia="Calibri"/>
                <w:lang w:eastAsia="en-US"/>
              </w:rPr>
            </w:pPr>
            <w:r w:rsidRPr="00B15403">
              <w:rPr>
                <w:rFonts w:eastAsia="Calibri"/>
                <w:lang w:eastAsia="en-US"/>
              </w:rPr>
              <w:t xml:space="preserve">Сверх </w:t>
            </w:r>
            <w:proofErr w:type="spellStart"/>
            <w:r w:rsidRPr="00B15403">
              <w:rPr>
                <w:rFonts w:eastAsia="Calibri"/>
                <w:lang w:eastAsia="en-US"/>
              </w:rPr>
              <w:t>соцнормы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23B94" w:rsidRPr="00B15403" w:rsidRDefault="00523B94" w:rsidP="00523B94">
            <w:pPr>
              <w:rPr>
                <w:rFonts w:eastAsia="Calibri"/>
                <w:lang w:eastAsia="en-US"/>
              </w:rPr>
            </w:pPr>
            <w:proofErr w:type="spellStart"/>
            <w:r w:rsidRPr="00B15403">
              <w:rPr>
                <w:rFonts w:eastAsia="Calibri"/>
                <w:lang w:eastAsia="en-US"/>
              </w:rPr>
              <w:t>Руб</w:t>
            </w:r>
            <w:proofErr w:type="spellEnd"/>
            <w:r w:rsidRPr="00B15403">
              <w:rPr>
                <w:rFonts w:eastAsia="Calibri"/>
                <w:lang w:eastAsia="en-US"/>
              </w:rPr>
              <w:t>/кВтч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lang w:eastAsia="en-US"/>
              </w:rPr>
            </w:pPr>
            <w:r w:rsidRPr="00B15403">
              <w:rPr>
                <w:rFonts w:eastAsia="Calibri"/>
                <w:b/>
                <w:lang w:eastAsia="en-US"/>
              </w:rPr>
              <w:t>3,10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lang w:eastAsia="en-US"/>
              </w:rPr>
            </w:pPr>
            <w:r w:rsidRPr="00B15403">
              <w:rPr>
                <w:rFonts w:eastAsia="Calibri"/>
                <w:b/>
                <w:lang w:eastAsia="en-US"/>
              </w:rPr>
              <w:t>3,43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b/>
                <w:lang w:eastAsia="en-US"/>
              </w:rPr>
            </w:pPr>
            <w:r w:rsidRPr="00B15403">
              <w:rPr>
                <w:rFonts w:eastAsia="Calibri"/>
                <w:b/>
                <w:lang w:eastAsia="en-US"/>
              </w:rPr>
              <w:t>10,6</w:t>
            </w:r>
          </w:p>
        </w:tc>
      </w:tr>
      <w:tr w:rsidR="00523B94" w:rsidRPr="00B15403" w:rsidTr="00B15403">
        <w:trPr>
          <w:trHeight w:val="70"/>
        </w:trPr>
        <w:tc>
          <w:tcPr>
            <w:tcW w:w="9716" w:type="dxa"/>
            <w:gridSpan w:val="5"/>
            <w:shd w:val="clear" w:color="auto" w:fill="auto"/>
          </w:tcPr>
          <w:p w:rsidR="00523B94" w:rsidRPr="00D23B70" w:rsidRDefault="00523B94" w:rsidP="00F2399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3B70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Газоснабжение </w:t>
            </w:r>
            <w:r w:rsidR="00F23993" w:rsidRPr="00D23B70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сжиженным </w:t>
            </w:r>
            <w:r w:rsidRPr="00D23B70">
              <w:rPr>
                <w:rFonts w:eastAsia="Calibri"/>
                <w:b/>
                <w:sz w:val="28"/>
                <w:szCs w:val="28"/>
                <w:lang w:eastAsia="en-US"/>
              </w:rPr>
              <w:t>газом</w:t>
            </w:r>
          </w:p>
        </w:tc>
      </w:tr>
      <w:tr w:rsidR="00523B94" w:rsidRPr="00B15403" w:rsidTr="00B15403">
        <w:trPr>
          <w:trHeight w:val="70"/>
        </w:trPr>
        <w:tc>
          <w:tcPr>
            <w:tcW w:w="2802" w:type="dxa"/>
            <w:shd w:val="clear" w:color="auto" w:fill="auto"/>
          </w:tcPr>
          <w:p w:rsidR="00523B94" w:rsidRDefault="00523B94" w:rsidP="00523B94">
            <w:pPr>
              <w:rPr>
                <w:rFonts w:eastAsia="Calibri"/>
                <w:lang w:eastAsia="en-US"/>
              </w:rPr>
            </w:pPr>
          </w:p>
          <w:p w:rsidR="00F23993" w:rsidRPr="00B15403" w:rsidRDefault="00F23993" w:rsidP="00523B94">
            <w:pPr>
              <w:rPr>
                <w:rFonts w:eastAsia="Calibri"/>
                <w:lang w:eastAsia="en-US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523B94" w:rsidRPr="00B15403" w:rsidRDefault="00523B94" w:rsidP="00B1540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15403">
              <w:rPr>
                <w:rFonts w:eastAsia="Calibri"/>
                <w:lang w:eastAsia="en-US"/>
              </w:rPr>
              <w:t>Руб</w:t>
            </w:r>
            <w:proofErr w:type="spellEnd"/>
            <w:r w:rsidRPr="00B15403">
              <w:rPr>
                <w:rFonts w:eastAsia="Calibri"/>
                <w:lang w:eastAsia="en-US"/>
              </w:rPr>
              <w:t>/м3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D23B70" w:rsidRDefault="00F23993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3B70">
              <w:rPr>
                <w:rFonts w:eastAsia="Calibri"/>
                <w:b/>
                <w:sz w:val="28"/>
                <w:szCs w:val="28"/>
                <w:lang w:eastAsia="en-US"/>
              </w:rPr>
              <w:t>29,65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3B94" w:rsidRPr="00D23B70" w:rsidRDefault="009C1785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3B70">
              <w:rPr>
                <w:rFonts w:eastAsia="Calibri"/>
                <w:b/>
                <w:sz w:val="28"/>
                <w:szCs w:val="28"/>
                <w:lang w:eastAsia="en-US"/>
              </w:rPr>
              <w:t>31,87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23B94" w:rsidRPr="00D23B70" w:rsidRDefault="00523B94" w:rsidP="00B1540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3B70">
              <w:rPr>
                <w:rFonts w:eastAsia="Calibri"/>
                <w:b/>
                <w:sz w:val="28"/>
                <w:szCs w:val="28"/>
                <w:lang w:eastAsia="en-US"/>
              </w:rPr>
              <w:t>7,49</w:t>
            </w:r>
          </w:p>
        </w:tc>
      </w:tr>
    </w:tbl>
    <w:p w:rsidR="00D21704" w:rsidRDefault="00D21704" w:rsidP="008D6C6E">
      <w:pPr>
        <w:ind w:firstLine="720"/>
        <w:jc w:val="both"/>
        <w:rPr>
          <w:color w:val="000000"/>
          <w:sz w:val="28"/>
          <w:szCs w:val="28"/>
        </w:rPr>
      </w:pPr>
    </w:p>
    <w:p w:rsidR="00476B8A" w:rsidRDefault="0029760B" w:rsidP="00FE0C1A">
      <w:pPr>
        <w:ind w:firstLine="720"/>
        <w:jc w:val="both"/>
        <w:rPr>
          <w:sz w:val="28"/>
          <w:szCs w:val="28"/>
        </w:rPr>
      </w:pPr>
      <w:r w:rsidRPr="0029760B">
        <w:rPr>
          <w:b/>
          <w:sz w:val="28"/>
          <w:szCs w:val="28"/>
        </w:rPr>
        <w:t>Важно!</w:t>
      </w:r>
      <w:r>
        <w:rPr>
          <w:b/>
          <w:sz w:val="28"/>
          <w:szCs w:val="28"/>
        </w:rPr>
        <w:t xml:space="preserve"> </w:t>
      </w:r>
      <w:r w:rsidR="00476B8A">
        <w:rPr>
          <w:sz w:val="28"/>
          <w:szCs w:val="28"/>
        </w:rPr>
        <w:t xml:space="preserve">В структуру платежного документа помимо коммунальных услуг, которые регулируются государством, входят также </w:t>
      </w:r>
      <w:r w:rsidR="00476B8A" w:rsidRPr="00476B8A">
        <w:rPr>
          <w:b/>
          <w:sz w:val="28"/>
          <w:szCs w:val="28"/>
        </w:rPr>
        <w:t>жилищные услуги</w:t>
      </w:r>
      <w:r w:rsidR="00476B8A">
        <w:rPr>
          <w:sz w:val="28"/>
          <w:szCs w:val="28"/>
        </w:rPr>
        <w:t xml:space="preserve"> (например, содержание и ремонт жилого помещения, домофон, охрана и т.п.), стоимость которых </w:t>
      </w:r>
      <w:r w:rsidR="00476B8A" w:rsidRPr="00476B8A">
        <w:rPr>
          <w:b/>
          <w:sz w:val="28"/>
          <w:szCs w:val="28"/>
        </w:rPr>
        <w:t>не регулируется государством.</w:t>
      </w:r>
      <w:r w:rsidR="00476B8A">
        <w:rPr>
          <w:b/>
          <w:sz w:val="28"/>
          <w:szCs w:val="28"/>
        </w:rPr>
        <w:t xml:space="preserve"> </w:t>
      </w:r>
      <w:r w:rsidR="00476B8A" w:rsidRPr="00476B8A">
        <w:rPr>
          <w:sz w:val="28"/>
          <w:szCs w:val="28"/>
        </w:rPr>
        <w:t>Она опре</w:t>
      </w:r>
      <w:r w:rsidR="00476B8A">
        <w:rPr>
          <w:sz w:val="28"/>
          <w:szCs w:val="28"/>
        </w:rPr>
        <w:t>д</w:t>
      </w:r>
      <w:r w:rsidR="00476B8A" w:rsidRPr="00476B8A">
        <w:rPr>
          <w:sz w:val="28"/>
          <w:szCs w:val="28"/>
        </w:rPr>
        <w:t xml:space="preserve">еляется либо </w:t>
      </w:r>
      <w:r w:rsidR="00476B8A">
        <w:rPr>
          <w:sz w:val="28"/>
          <w:szCs w:val="28"/>
        </w:rPr>
        <w:t xml:space="preserve">правовым актом </w:t>
      </w:r>
      <w:proofErr w:type="gramStart"/>
      <w:r w:rsidR="00476B8A">
        <w:rPr>
          <w:sz w:val="28"/>
          <w:szCs w:val="28"/>
        </w:rPr>
        <w:t>местной</w:t>
      </w:r>
      <w:proofErr w:type="gramEnd"/>
      <w:r w:rsidR="00476B8A">
        <w:rPr>
          <w:sz w:val="28"/>
          <w:szCs w:val="28"/>
        </w:rPr>
        <w:t xml:space="preserve"> администрации, либо самими собственниками </w:t>
      </w:r>
      <w:r w:rsidR="00476B8A">
        <w:rPr>
          <w:sz w:val="28"/>
          <w:szCs w:val="28"/>
        </w:rPr>
        <w:lastRenderedPageBreak/>
        <w:t>жилых помещений при выборе способа управления многоквартирным домом и фиксируется в договоре.</w:t>
      </w:r>
    </w:p>
    <w:p w:rsidR="00476B8A" w:rsidRPr="00523B94" w:rsidRDefault="00476B8A" w:rsidP="00FE0C1A">
      <w:pPr>
        <w:ind w:firstLine="720"/>
        <w:jc w:val="both"/>
        <w:rPr>
          <w:b/>
          <w:i/>
          <w:sz w:val="28"/>
          <w:szCs w:val="28"/>
        </w:rPr>
      </w:pPr>
      <w:r w:rsidRPr="00523B94">
        <w:rPr>
          <w:b/>
          <w:i/>
          <w:sz w:val="28"/>
          <w:szCs w:val="28"/>
        </w:rPr>
        <w:t>Размер платы за жилищные услуги следует уточнять в своей управляющей компании либо в договоре управления домом.</w:t>
      </w:r>
    </w:p>
    <w:p w:rsidR="00476B8A" w:rsidRPr="00523B94" w:rsidRDefault="00476B8A" w:rsidP="00FE0C1A">
      <w:pPr>
        <w:ind w:firstLine="720"/>
        <w:jc w:val="both"/>
        <w:rPr>
          <w:b/>
          <w:i/>
          <w:sz w:val="28"/>
          <w:szCs w:val="28"/>
        </w:rPr>
      </w:pPr>
    </w:p>
    <w:p w:rsidR="0084229B" w:rsidRDefault="006E7CE2" w:rsidP="00F61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при одинаковом наборе коммунальных услуг и сопоставимых объемах потребления рост платежа превысит установленный Губернатором РО предельный индекс, необходимо обратиться в свою управляющую компанию (ТСЖ, ЖСК) за разъяснениями.</w:t>
      </w:r>
    </w:p>
    <w:p w:rsidR="006E7CE2" w:rsidRDefault="006E7CE2" w:rsidP="00F614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начисления платы граждан за коммунальные услуги осуществляет Государственная жилищная инспекция Ростовской области </w:t>
      </w:r>
      <w:r w:rsidRPr="006E7CE2">
        <w:rPr>
          <w:b/>
          <w:i/>
          <w:sz w:val="28"/>
          <w:szCs w:val="28"/>
        </w:rPr>
        <w:t>(</w:t>
      </w:r>
      <w:r w:rsidR="003B50FA" w:rsidRPr="003B50FA">
        <w:rPr>
          <w:b/>
          <w:i/>
          <w:sz w:val="28"/>
          <w:szCs w:val="28"/>
        </w:rPr>
        <w:t>gzhi.donland.ru</w:t>
      </w:r>
      <w:r w:rsidRPr="006E7CE2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, </w:t>
      </w:r>
      <w:r w:rsidRPr="006E7CE2">
        <w:rPr>
          <w:sz w:val="28"/>
          <w:szCs w:val="28"/>
        </w:rPr>
        <w:t>тел. «горячей линии»</w:t>
      </w:r>
      <w:r>
        <w:rPr>
          <w:sz w:val="28"/>
          <w:szCs w:val="28"/>
        </w:rPr>
        <w:t xml:space="preserve"> для </w:t>
      </w:r>
      <w:r w:rsidR="000D301C">
        <w:rPr>
          <w:sz w:val="28"/>
          <w:szCs w:val="28"/>
        </w:rPr>
        <w:t xml:space="preserve">обращения граждан, </w:t>
      </w:r>
      <w:r>
        <w:rPr>
          <w:sz w:val="28"/>
          <w:szCs w:val="28"/>
        </w:rPr>
        <w:t xml:space="preserve">проживающих на территории Ростовской области - </w:t>
      </w:r>
      <w:r w:rsidRPr="006E7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(863) </w:t>
      </w:r>
      <w:r w:rsidRPr="006E7CE2">
        <w:rPr>
          <w:sz w:val="28"/>
          <w:szCs w:val="28"/>
        </w:rPr>
        <w:t>210-22-30</w:t>
      </w:r>
      <w:r>
        <w:rPr>
          <w:sz w:val="28"/>
          <w:szCs w:val="28"/>
        </w:rPr>
        <w:t>.</w:t>
      </w:r>
    </w:p>
    <w:p w:rsidR="006E7CE2" w:rsidRDefault="006E7CE2" w:rsidP="00F61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услуги как жизненно важные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величиной затрат коммунальных предприятий реализуются меры социальной адресной поддержки  нуждающихся граждан и семей.</w:t>
      </w:r>
    </w:p>
    <w:p w:rsidR="006E7CE2" w:rsidRDefault="006E7CE2" w:rsidP="00F61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 зависимости от величины изменения платежа за коммунальные услуги, при наличии законодательно установленных оснований можно обращаться </w:t>
      </w:r>
      <w:r w:rsidRPr="00D21704">
        <w:rPr>
          <w:sz w:val="28"/>
          <w:szCs w:val="28"/>
        </w:rPr>
        <w:t>в органы социальной защиты по месту жительства</w:t>
      </w:r>
      <w:r>
        <w:rPr>
          <w:sz w:val="28"/>
          <w:szCs w:val="28"/>
        </w:rPr>
        <w:t xml:space="preserve"> за начислением адресных социальных выплат и субсидий по оплате жилищно-коммунальных услуг.</w:t>
      </w:r>
    </w:p>
    <w:p w:rsidR="006E7CE2" w:rsidRPr="00A82346" w:rsidRDefault="006E7CE2" w:rsidP="006E7CE2">
      <w:pPr>
        <w:ind w:firstLine="720"/>
        <w:jc w:val="both"/>
        <w:rPr>
          <w:b/>
          <w:bCs/>
          <w:sz w:val="28"/>
          <w:szCs w:val="28"/>
        </w:rPr>
      </w:pPr>
      <w:r w:rsidRPr="00D21704">
        <w:rPr>
          <w:b/>
          <w:sz w:val="28"/>
          <w:szCs w:val="28"/>
        </w:rPr>
        <w:t xml:space="preserve">В </w:t>
      </w:r>
      <w:r w:rsidRPr="00D21704">
        <w:rPr>
          <w:b/>
          <w:bCs/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</w:t>
      </w:r>
      <w:r w:rsidR="00080FF9">
        <w:rPr>
          <w:sz w:val="28"/>
          <w:szCs w:val="28"/>
        </w:rPr>
        <w:t xml:space="preserve">в </w:t>
      </w:r>
      <w:r>
        <w:rPr>
          <w:sz w:val="28"/>
          <w:szCs w:val="28"/>
        </w:rPr>
        <w:t>2015 году</w:t>
      </w:r>
      <w:r w:rsidRPr="000F6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действуют </w:t>
      </w:r>
      <w:r w:rsidR="00080FF9">
        <w:rPr>
          <w:sz w:val="28"/>
          <w:szCs w:val="28"/>
        </w:rPr>
        <w:t>следующие</w:t>
      </w:r>
      <w:r w:rsidRPr="000F69AB">
        <w:rPr>
          <w:sz w:val="28"/>
          <w:szCs w:val="28"/>
        </w:rPr>
        <w:t xml:space="preserve"> </w:t>
      </w:r>
      <w:r w:rsidRPr="00A82346">
        <w:rPr>
          <w:b/>
          <w:bCs/>
          <w:sz w:val="28"/>
          <w:szCs w:val="28"/>
        </w:rPr>
        <w:t xml:space="preserve">меры социальной защиты граждан: </w:t>
      </w:r>
    </w:p>
    <w:p w:rsidR="006E7CE2" w:rsidRPr="000F69AB" w:rsidRDefault="006E7CE2" w:rsidP="006E7CE2">
      <w:pPr>
        <w:ind w:firstLine="709"/>
        <w:jc w:val="both"/>
        <w:rPr>
          <w:sz w:val="28"/>
          <w:szCs w:val="28"/>
        </w:rPr>
      </w:pPr>
      <w:r w:rsidRPr="000F69AB">
        <w:rPr>
          <w:sz w:val="28"/>
          <w:szCs w:val="28"/>
        </w:rPr>
        <w:t xml:space="preserve">- предоставление гражданам </w:t>
      </w:r>
      <w:r w:rsidRPr="006A7894">
        <w:rPr>
          <w:sz w:val="28"/>
          <w:szCs w:val="28"/>
          <w:u w:val="single"/>
        </w:rPr>
        <w:t xml:space="preserve">адресных социальных выплат на холодное водоснабжение и водоотведение. </w:t>
      </w:r>
      <w:proofErr w:type="gramStart"/>
      <w:r w:rsidRPr="000F69AB">
        <w:rPr>
          <w:sz w:val="28"/>
          <w:szCs w:val="28"/>
        </w:rPr>
        <w:t>На территории области действуют установленные постановлением Правительства Ростовской области от 30.12.2011 №311 критерии доступности платы граждан по холодной воде</w:t>
      </w:r>
      <w:r>
        <w:rPr>
          <w:sz w:val="28"/>
          <w:szCs w:val="28"/>
        </w:rPr>
        <w:t>:</w:t>
      </w:r>
      <w:r w:rsidRPr="000F6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69AB">
        <w:rPr>
          <w:sz w:val="28"/>
          <w:szCs w:val="28"/>
        </w:rPr>
        <w:t xml:space="preserve"> 40 руб. за </w:t>
      </w:r>
      <w:smartTag w:uri="urn:schemas-microsoft-com:office:smarttags" w:element="metricconverter">
        <w:smartTagPr>
          <w:attr w:name="ProductID" w:val="1 м³"/>
        </w:smartTagPr>
        <w:r w:rsidRPr="000F69AB">
          <w:rPr>
            <w:sz w:val="28"/>
            <w:szCs w:val="28"/>
          </w:rPr>
          <w:t>1 м³</w:t>
        </w:r>
      </w:smartTag>
      <w:r w:rsidRPr="000F69AB">
        <w:rPr>
          <w:sz w:val="28"/>
          <w:szCs w:val="28"/>
        </w:rPr>
        <w:t xml:space="preserve"> и по водоотведению - 35 руб. за </w:t>
      </w:r>
      <w:smartTag w:uri="urn:schemas-microsoft-com:office:smarttags" w:element="metricconverter">
        <w:smartTagPr>
          <w:attr w:name="ProductID" w:val="1 м³"/>
        </w:smartTagPr>
        <w:r w:rsidRPr="000F69AB">
          <w:rPr>
            <w:sz w:val="28"/>
            <w:szCs w:val="28"/>
          </w:rPr>
          <w:t>1 м³</w:t>
        </w:r>
      </w:smartTag>
      <w:r w:rsidRPr="000F69AB">
        <w:rPr>
          <w:sz w:val="28"/>
          <w:szCs w:val="28"/>
        </w:rPr>
        <w:t>. То есть, если</w:t>
      </w:r>
      <w:r>
        <w:rPr>
          <w:sz w:val="28"/>
          <w:szCs w:val="28"/>
        </w:rPr>
        <w:t xml:space="preserve"> в платежке у гражданина указан тариф</w:t>
      </w:r>
      <w:r w:rsidRPr="000F6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холодную воду выше </w:t>
      </w:r>
      <w:r w:rsidRPr="000F69AB">
        <w:rPr>
          <w:sz w:val="28"/>
          <w:szCs w:val="28"/>
        </w:rPr>
        <w:t>40 рублей</w:t>
      </w:r>
      <w:r>
        <w:rPr>
          <w:sz w:val="28"/>
          <w:szCs w:val="28"/>
        </w:rPr>
        <w:t xml:space="preserve"> и тариф на водоотведение выше </w:t>
      </w:r>
      <w:r w:rsidRPr="000F69AB">
        <w:rPr>
          <w:sz w:val="28"/>
          <w:szCs w:val="28"/>
        </w:rPr>
        <w:t>35</w:t>
      </w:r>
      <w:r>
        <w:rPr>
          <w:sz w:val="28"/>
          <w:szCs w:val="28"/>
        </w:rPr>
        <w:t xml:space="preserve"> рублей</w:t>
      </w:r>
      <w:r w:rsidRPr="000F69AB">
        <w:rPr>
          <w:sz w:val="28"/>
          <w:szCs w:val="28"/>
        </w:rPr>
        <w:t xml:space="preserve">, гражданин имеет право на получение </w:t>
      </w:r>
      <w:r w:rsidR="0029760B">
        <w:rPr>
          <w:sz w:val="28"/>
          <w:szCs w:val="28"/>
        </w:rPr>
        <w:t>адресной</w:t>
      </w:r>
      <w:proofErr w:type="gramEnd"/>
      <w:r w:rsidR="0029760B">
        <w:rPr>
          <w:sz w:val="28"/>
          <w:szCs w:val="28"/>
        </w:rPr>
        <w:t xml:space="preserve"> социальной</w:t>
      </w:r>
      <w:r w:rsidRPr="000F69AB">
        <w:rPr>
          <w:sz w:val="28"/>
          <w:szCs w:val="28"/>
        </w:rPr>
        <w:t xml:space="preserve"> выплаты. Размер выплаты определяется как произведение разницы между установленным тарифом на коммунальные услуги по водоснабжению (водоотведению) для населения и предельным уровнем тарифов на фактическое потребление данных коммунальных услуг, но не более социальной нормы потребления. </w:t>
      </w:r>
    </w:p>
    <w:p w:rsidR="006E7CE2" w:rsidRPr="000F69AB" w:rsidRDefault="006E7CE2" w:rsidP="006E7C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редоставление </w:t>
      </w:r>
      <w:r w:rsidRPr="006A7894">
        <w:rPr>
          <w:sz w:val="28"/>
          <w:szCs w:val="28"/>
          <w:u w:val="single"/>
        </w:rPr>
        <w:t>выплат в связи с превышением установленной максимально допустимой доли расходов граждан</w:t>
      </w:r>
      <w:r w:rsidRPr="000F69AB">
        <w:rPr>
          <w:sz w:val="28"/>
          <w:szCs w:val="28"/>
        </w:rPr>
        <w:t xml:space="preserve"> на оплату жилья и коммунальных услуг в совокупном доходе семьи</w:t>
      </w:r>
      <w:r>
        <w:rPr>
          <w:sz w:val="28"/>
          <w:szCs w:val="28"/>
        </w:rPr>
        <w:t>. В Ростовской области</w:t>
      </w:r>
      <w:r w:rsidRPr="000F6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максимально допустимая доля расходов установлена в размере </w:t>
      </w:r>
      <w:r w:rsidRPr="000F69AB">
        <w:rPr>
          <w:sz w:val="28"/>
          <w:szCs w:val="28"/>
        </w:rPr>
        <w:t>15%</w:t>
      </w:r>
      <w:r>
        <w:rPr>
          <w:sz w:val="28"/>
          <w:szCs w:val="28"/>
        </w:rPr>
        <w:t xml:space="preserve"> от совокупного дохода семьи (на федеральном уровне  - 22%).</w:t>
      </w:r>
    </w:p>
    <w:p w:rsidR="006E7CE2" w:rsidRDefault="00080FF9" w:rsidP="006E7CE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 принятые решения направлены на защиту граждан от резкого роста стоимости коммунальных услуг.</w:t>
      </w:r>
    </w:p>
    <w:p w:rsidR="006E7CE2" w:rsidRDefault="006E7CE2" w:rsidP="00F61491">
      <w:pPr>
        <w:ind w:firstLine="709"/>
        <w:jc w:val="both"/>
        <w:rPr>
          <w:sz w:val="28"/>
          <w:szCs w:val="28"/>
        </w:rPr>
      </w:pPr>
    </w:p>
    <w:p w:rsidR="00864CA9" w:rsidRDefault="00864CA9" w:rsidP="00864C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864CA9" w:rsidRDefault="00864CA9" w:rsidP="00864C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С.М. Дубравина</w:t>
      </w:r>
    </w:p>
    <w:sectPr w:rsidR="00864CA9" w:rsidSect="007368C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656C"/>
    <w:multiLevelType w:val="hybridMultilevel"/>
    <w:tmpl w:val="4F3C1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D276A1"/>
    <w:multiLevelType w:val="hybridMultilevel"/>
    <w:tmpl w:val="9CD899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C4F34AC"/>
    <w:multiLevelType w:val="multilevel"/>
    <w:tmpl w:val="9CD899F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80418"/>
    <w:rsid w:val="00042F73"/>
    <w:rsid w:val="00080418"/>
    <w:rsid w:val="00080FF9"/>
    <w:rsid w:val="000D301C"/>
    <w:rsid w:val="000F27E2"/>
    <w:rsid w:val="000F69AB"/>
    <w:rsid w:val="001943B6"/>
    <w:rsid w:val="001F2912"/>
    <w:rsid w:val="00243DC5"/>
    <w:rsid w:val="0029760B"/>
    <w:rsid w:val="002A201C"/>
    <w:rsid w:val="003203C1"/>
    <w:rsid w:val="00392BD5"/>
    <w:rsid w:val="00397404"/>
    <w:rsid w:val="003B50FA"/>
    <w:rsid w:val="00400322"/>
    <w:rsid w:val="00404A71"/>
    <w:rsid w:val="004237FC"/>
    <w:rsid w:val="004729E9"/>
    <w:rsid w:val="00476B8A"/>
    <w:rsid w:val="00523B94"/>
    <w:rsid w:val="005611AF"/>
    <w:rsid w:val="00591807"/>
    <w:rsid w:val="005921E5"/>
    <w:rsid w:val="005934CD"/>
    <w:rsid w:val="005C0225"/>
    <w:rsid w:val="005D1690"/>
    <w:rsid w:val="005D4846"/>
    <w:rsid w:val="00613EB2"/>
    <w:rsid w:val="006279C6"/>
    <w:rsid w:val="0069466D"/>
    <w:rsid w:val="006A7894"/>
    <w:rsid w:val="006E7CE2"/>
    <w:rsid w:val="007368C4"/>
    <w:rsid w:val="007808D2"/>
    <w:rsid w:val="007C336C"/>
    <w:rsid w:val="007D41F2"/>
    <w:rsid w:val="00837191"/>
    <w:rsid w:val="0084229B"/>
    <w:rsid w:val="00864CA9"/>
    <w:rsid w:val="008D6C6E"/>
    <w:rsid w:val="00920396"/>
    <w:rsid w:val="00926E7D"/>
    <w:rsid w:val="0093298F"/>
    <w:rsid w:val="009C1785"/>
    <w:rsid w:val="00A82346"/>
    <w:rsid w:val="00AC1A3C"/>
    <w:rsid w:val="00B15403"/>
    <w:rsid w:val="00B25AC0"/>
    <w:rsid w:val="00B54349"/>
    <w:rsid w:val="00B7291F"/>
    <w:rsid w:val="00C25AC4"/>
    <w:rsid w:val="00C57BFE"/>
    <w:rsid w:val="00CF116B"/>
    <w:rsid w:val="00D1382D"/>
    <w:rsid w:val="00D21704"/>
    <w:rsid w:val="00D23B70"/>
    <w:rsid w:val="00D9698B"/>
    <w:rsid w:val="00E350AA"/>
    <w:rsid w:val="00E35A5C"/>
    <w:rsid w:val="00E47127"/>
    <w:rsid w:val="00F23993"/>
    <w:rsid w:val="00F3205F"/>
    <w:rsid w:val="00F61491"/>
    <w:rsid w:val="00F73E8A"/>
    <w:rsid w:val="00F76AB9"/>
    <w:rsid w:val="00F937D3"/>
    <w:rsid w:val="00FB02E6"/>
    <w:rsid w:val="00FB3334"/>
    <w:rsid w:val="00FE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41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804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418"/>
  </w:style>
  <w:style w:type="paragraph" w:styleId="a4">
    <w:name w:val="Normal (Web)"/>
    <w:basedOn w:val="a"/>
    <w:uiPriority w:val="99"/>
    <w:rsid w:val="005D4846"/>
    <w:pPr>
      <w:spacing w:before="100" w:beforeAutospacing="1" w:after="100" w:afterAutospacing="1"/>
    </w:pPr>
  </w:style>
  <w:style w:type="paragraph" w:customStyle="1" w:styleId="ConsPlusNormal">
    <w:name w:val="ConsPlusNormal"/>
    <w:rsid w:val="005D48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 Знак"/>
    <w:basedOn w:val="a"/>
    <w:rsid w:val="002A20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A20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23B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1 июля 2014 года изменились тарифы на коммунальные услуги</vt:lpstr>
    </vt:vector>
  </TitlesOfParts>
  <Company>DNS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июля 2014 года изменились тарифы на коммунальные услуги</dc:title>
  <dc:creator>doc</dc:creator>
  <cp:lastModifiedBy>Специалист СЭиФ</cp:lastModifiedBy>
  <cp:revision>2</cp:revision>
  <cp:lastPrinted>2015-07-27T05:08:00Z</cp:lastPrinted>
  <dcterms:created xsi:type="dcterms:W3CDTF">2015-07-27T08:14:00Z</dcterms:created>
  <dcterms:modified xsi:type="dcterms:W3CDTF">2015-07-27T08:14:00Z</dcterms:modified>
</cp:coreProperties>
</file>